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9DC7" w14:textId="77777777" w:rsidR="00802A8A" w:rsidRPr="00520C23" w:rsidRDefault="00802A8A" w:rsidP="00802A8A">
      <w:pPr>
        <w:pStyle w:val="Header"/>
        <w:spacing w:before="120" w:line="360" w:lineRule="auto"/>
        <w:rPr>
          <w:rFonts w:ascii="Calibri" w:eastAsia="Calibri" w:hAnsi="Calibri" w:cs="Calibri"/>
          <w:sz w:val="36"/>
          <w:szCs w:val="36"/>
        </w:rPr>
      </w:pPr>
      <w:r w:rsidRPr="00520C23">
        <w:rPr>
          <w:rFonts w:ascii="Calibri" w:eastAsia="Calibri" w:hAnsi="Calibri" w:cs="Calibri"/>
          <w:b/>
          <w:bCs/>
          <w:sz w:val="36"/>
          <w:szCs w:val="36"/>
        </w:rPr>
        <w:t>Analysis of the NT Government’s Implementation of the Fracking Inquiry Recommendations</w:t>
      </w:r>
    </w:p>
    <w:p w14:paraId="5F09B6EE" w14:textId="77777777" w:rsidR="00802A8A" w:rsidRPr="00520C23" w:rsidRDefault="00802A8A" w:rsidP="00802A8A">
      <w:pPr>
        <w:pStyle w:val="Header"/>
        <w:spacing w:before="120" w:line="360" w:lineRule="auto"/>
        <w:rPr>
          <w:rFonts w:ascii="Calibri" w:eastAsia="Calibri" w:hAnsi="Calibri" w:cs="Calibri"/>
        </w:rPr>
      </w:pPr>
      <w:r w:rsidRPr="00520C23">
        <w:rPr>
          <w:rFonts w:ascii="Calibri" w:eastAsia="Calibri" w:hAnsi="Calibri" w:cs="Calibri"/>
          <w:b/>
          <w:bCs/>
        </w:rPr>
        <w:t>INTRODUCTION</w:t>
      </w:r>
    </w:p>
    <w:p w14:paraId="12BBA7EC" w14:textId="46E0B86F" w:rsidR="00802A8A" w:rsidRPr="00520C23" w:rsidRDefault="00D3436B" w:rsidP="00802A8A">
      <w:pPr>
        <w:pStyle w:val="Header"/>
        <w:spacing w:before="120"/>
        <w:rPr>
          <w:rFonts w:ascii="Calibri" w:eastAsia="Calibri" w:hAnsi="Calibri" w:cs="Calibri"/>
        </w:rPr>
      </w:pPr>
      <w:r>
        <w:rPr>
          <w:rFonts w:ascii="Calibri" w:eastAsia="Calibri" w:hAnsi="Calibri" w:cs="Calibri"/>
        </w:rPr>
        <w:t>This analysis is based on a review of</w:t>
      </w:r>
      <w:r w:rsidR="00802A8A" w:rsidRPr="00520C23">
        <w:rPr>
          <w:rFonts w:ascii="Calibri" w:eastAsia="Calibri" w:hAnsi="Calibri" w:cs="Calibri"/>
        </w:rPr>
        <w:t xml:space="preserve"> the Northern Territory (</w:t>
      </w:r>
      <w:r w:rsidR="00802A8A" w:rsidRPr="00520C23">
        <w:rPr>
          <w:rFonts w:ascii="Calibri" w:eastAsia="Calibri" w:hAnsi="Calibri" w:cs="Calibri"/>
          <w:b/>
          <w:bCs/>
        </w:rPr>
        <w:t>NT</w:t>
      </w:r>
      <w:r w:rsidR="00802A8A" w:rsidRPr="00520C23">
        <w:rPr>
          <w:rFonts w:ascii="Calibri" w:eastAsia="Calibri" w:hAnsi="Calibri" w:cs="Calibri"/>
        </w:rPr>
        <w:t xml:space="preserve">) government’s implementation of the findings of the </w:t>
      </w:r>
      <w:hyperlink r:id="rId11">
        <w:r w:rsidR="00802A8A" w:rsidRPr="00520C23">
          <w:rPr>
            <w:rStyle w:val="Hyperlink"/>
            <w:rFonts w:ascii="Calibri" w:eastAsia="Calibri" w:hAnsi="Calibri" w:cs="Calibri"/>
          </w:rPr>
          <w:t>Scientific Inquiry into Hydraulic Fracturing in the Northern Territory</w:t>
        </w:r>
      </w:hyperlink>
      <w:r w:rsidR="00802A8A" w:rsidRPr="00520C23">
        <w:rPr>
          <w:rFonts w:ascii="Calibri" w:eastAsia="Calibri" w:hAnsi="Calibri" w:cs="Calibri"/>
        </w:rPr>
        <w:t xml:space="preserve"> conducted by the Hon. Justice Rachel Pepper (known as the </w:t>
      </w:r>
      <w:r w:rsidR="00802A8A" w:rsidRPr="00520C23">
        <w:rPr>
          <w:rFonts w:ascii="Calibri" w:eastAsia="Calibri" w:hAnsi="Calibri" w:cs="Calibri"/>
          <w:b/>
          <w:bCs/>
        </w:rPr>
        <w:t>Pepper Inquiry</w:t>
      </w:r>
      <w:r w:rsidR="00802A8A" w:rsidRPr="00520C23">
        <w:rPr>
          <w:rFonts w:ascii="Calibri" w:eastAsia="Calibri" w:hAnsi="Calibri" w:cs="Calibri"/>
        </w:rPr>
        <w:t>)</w:t>
      </w:r>
      <w:r w:rsidR="00CE2E8E">
        <w:rPr>
          <w:rFonts w:ascii="Calibri" w:eastAsia="Calibri" w:hAnsi="Calibri" w:cs="Calibri"/>
        </w:rPr>
        <w:t xml:space="preserve">. </w:t>
      </w:r>
      <w:r w:rsidR="00802A8A" w:rsidRPr="00520C23">
        <w:rPr>
          <w:rFonts w:ascii="Calibri" w:eastAsia="Calibri" w:hAnsi="Calibri" w:cs="Calibri"/>
        </w:rPr>
        <w:t>Following a territory-wide moratorium on unconventional shale gas developments, the Pepper Inquiry was established to assess the risks of fracking</w:t>
      </w:r>
      <w:r w:rsidR="00CE2E8E">
        <w:rPr>
          <w:rFonts w:ascii="Calibri" w:eastAsia="Calibri" w:hAnsi="Calibri" w:cs="Calibri"/>
        </w:rPr>
        <w:t xml:space="preserve">. </w:t>
      </w:r>
      <w:r w:rsidR="00802A8A" w:rsidRPr="00520C23">
        <w:rPr>
          <w:rFonts w:ascii="Calibri" w:eastAsia="Calibri" w:hAnsi="Calibri" w:cs="Calibri"/>
        </w:rPr>
        <w:t>The final report of the Pepper Inquiry was released on 27 March 2018</w:t>
      </w:r>
      <w:r w:rsidR="00CE2E8E">
        <w:rPr>
          <w:rFonts w:ascii="Calibri" w:eastAsia="Calibri" w:hAnsi="Calibri" w:cs="Calibri"/>
        </w:rPr>
        <w:t xml:space="preserve">. </w:t>
      </w:r>
      <w:r w:rsidR="00802A8A" w:rsidRPr="00520C23">
        <w:rPr>
          <w:rFonts w:ascii="Calibri" w:eastAsia="Calibri" w:hAnsi="Calibri" w:cs="Calibri"/>
        </w:rPr>
        <w:t>It provides the government with 135 recommendations to mitigate the risks of fracking in the NT, concluding that “</w:t>
      </w:r>
      <w:r w:rsidR="00802A8A" w:rsidRPr="00520C23">
        <w:rPr>
          <w:rFonts w:ascii="Calibri" w:eastAsia="Calibri" w:hAnsi="Calibri" w:cs="Calibri"/>
          <w:i/>
          <w:iCs/>
        </w:rPr>
        <w:t>provided that all of the recommendations made in this Report are adopted and implemented in their entirety, not only should the risks associated with an onshore shale gas industry be minimised to an acceptable level, in some instances, they can be avoided altogether</w:t>
      </w:r>
      <w:r w:rsidR="00802A8A" w:rsidRPr="00520C23">
        <w:rPr>
          <w:rFonts w:ascii="Calibri" w:eastAsia="Calibri" w:hAnsi="Calibri" w:cs="Calibri"/>
        </w:rPr>
        <w:t xml:space="preserve">.”  </w:t>
      </w:r>
    </w:p>
    <w:p w14:paraId="4425CBF2" w14:textId="499BB322" w:rsidR="00802A8A" w:rsidRPr="00520C23" w:rsidRDefault="00383B13" w:rsidP="00802A8A">
      <w:pPr>
        <w:pStyle w:val="Header"/>
        <w:spacing w:before="120"/>
        <w:rPr>
          <w:rFonts w:ascii="Calibri" w:eastAsia="Calibri" w:hAnsi="Calibri" w:cs="Calibri"/>
        </w:rPr>
      </w:pPr>
      <w:r>
        <w:rPr>
          <w:rFonts w:ascii="Calibri" w:eastAsia="Calibri" w:hAnsi="Calibri" w:cs="Calibri"/>
        </w:rPr>
        <w:t>The analysis below focuses</w:t>
      </w:r>
      <w:r w:rsidR="00802A8A" w:rsidRPr="00520C23">
        <w:rPr>
          <w:rFonts w:ascii="Calibri" w:eastAsia="Calibri" w:hAnsi="Calibri" w:cs="Calibri"/>
        </w:rPr>
        <w:t xml:space="preserve"> only</w:t>
      </w:r>
      <w:r>
        <w:rPr>
          <w:rFonts w:ascii="Calibri" w:eastAsia="Calibri" w:hAnsi="Calibri" w:cs="Calibri"/>
        </w:rPr>
        <w:t xml:space="preserve"> on</w:t>
      </w:r>
      <w:r w:rsidR="00802A8A" w:rsidRPr="00520C23">
        <w:rPr>
          <w:rFonts w:ascii="Calibri" w:eastAsia="Calibri" w:hAnsi="Calibri" w:cs="Calibri"/>
        </w:rPr>
        <w:t xml:space="preserve"> those Pepper Inquiry recommendations which the government claims to have implemented in full (i.e. marked as ‘100%’ complete in its </w:t>
      </w:r>
      <w:hyperlink r:id="rId12" w:history="1">
        <w:r w:rsidR="00802A8A" w:rsidRPr="00520C23">
          <w:rPr>
            <w:rStyle w:val="Hyperlink"/>
            <w:rFonts w:ascii="Calibri" w:eastAsia="Calibri" w:hAnsi="Calibri" w:cs="Calibri"/>
          </w:rPr>
          <w:t>progress report</w:t>
        </w:r>
      </w:hyperlink>
      <w:r w:rsidR="00802A8A" w:rsidRPr="00520C23">
        <w:rPr>
          <w:rFonts w:ascii="Calibri" w:eastAsia="Calibri" w:hAnsi="Calibri" w:cs="Calibri"/>
        </w:rPr>
        <w:t>)</w:t>
      </w:r>
      <w:r w:rsidR="00CE2E8E">
        <w:rPr>
          <w:rFonts w:ascii="Calibri" w:eastAsia="Calibri" w:hAnsi="Calibri" w:cs="Calibri"/>
        </w:rPr>
        <w:t xml:space="preserve">. </w:t>
      </w:r>
      <w:r w:rsidR="00802A8A" w:rsidRPr="00520C23">
        <w:rPr>
          <w:rFonts w:ascii="Calibri" w:eastAsia="Calibri" w:hAnsi="Calibri" w:cs="Calibri"/>
        </w:rPr>
        <w:t xml:space="preserve">As </w:t>
      </w:r>
      <w:r w:rsidR="006D62F7" w:rsidRPr="00520C23">
        <w:rPr>
          <w:rFonts w:ascii="Calibri" w:eastAsia="Calibri" w:hAnsi="Calibri" w:cs="Calibri"/>
        </w:rPr>
        <w:t xml:space="preserve">of </w:t>
      </w:r>
      <w:r w:rsidR="001F260A">
        <w:rPr>
          <w:rFonts w:ascii="Calibri" w:eastAsia="Calibri" w:hAnsi="Calibri" w:cs="Calibri"/>
        </w:rPr>
        <w:t>28</w:t>
      </w:r>
      <w:r w:rsidR="009E6B11">
        <w:rPr>
          <w:rFonts w:ascii="Calibri" w:eastAsia="Calibri" w:hAnsi="Calibri" w:cs="Calibri"/>
        </w:rPr>
        <w:t xml:space="preserve"> </w:t>
      </w:r>
      <w:r w:rsidR="001F260A">
        <w:rPr>
          <w:rFonts w:ascii="Calibri" w:eastAsia="Calibri" w:hAnsi="Calibri" w:cs="Calibri"/>
        </w:rPr>
        <w:t>April</w:t>
      </w:r>
      <w:r w:rsidR="001F260A" w:rsidRPr="00520C23">
        <w:rPr>
          <w:rFonts w:ascii="Calibri" w:eastAsia="Calibri" w:hAnsi="Calibri" w:cs="Calibri"/>
        </w:rPr>
        <w:t xml:space="preserve"> </w:t>
      </w:r>
      <w:r w:rsidR="006D62F7" w:rsidRPr="00520C23">
        <w:rPr>
          <w:rFonts w:ascii="Calibri" w:eastAsia="Calibri" w:hAnsi="Calibri" w:cs="Calibri"/>
        </w:rPr>
        <w:t>202</w:t>
      </w:r>
      <w:r w:rsidR="00804686">
        <w:rPr>
          <w:rFonts w:ascii="Calibri" w:eastAsia="Calibri" w:hAnsi="Calibri" w:cs="Calibri"/>
        </w:rPr>
        <w:t>3</w:t>
      </w:r>
      <w:r w:rsidR="00802A8A" w:rsidRPr="00520C23">
        <w:rPr>
          <w:rFonts w:ascii="Calibri" w:eastAsia="Calibri" w:hAnsi="Calibri" w:cs="Calibri"/>
        </w:rPr>
        <w:t xml:space="preserve">, </w:t>
      </w:r>
      <w:r w:rsidR="00804686">
        <w:rPr>
          <w:rFonts w:ascii="Calibri" w:eastAsia="Calibri" w:hAnsi="Calibri" w:cs="Calibri"/>
        </w:rPr>
        <w:t xml:space="preserve">103 </w:t>
      </w:r>
      <w:r w:rsidR="007E5555" w:rsidRPr="00520C23">
        <w:rPr>
          <w:rFonts w:ascii="Calibri" w:eastAsia="Calibri" w:hAnsi="Calibri" w:cs="Calibri"/>
        </w:rPr>
        <w:t>Recommendations</w:t>
      </w:r>
      <w:r w:rsidR="00802A8A" w:rsidRPr="00520C23">
        <w:rPr>
          <w:rFonts w:ascii="Calibri" w:eastAsia="Calibri" w:hAnsi="Calibri" w:cs="Calibri"/>
        </w:rPr>
        <w:t xml:space="preserve"> are marked as completed</w:t>
      </w:r>
      <w:r w:rsidR="00CE2E8E">
        <w:rPr>
          <w:rFonts w:ascii="Calibri" w:eastAsia="Calibri" w:hAnsi="Calibri" w:cs="Calibri"/>
        </w:rPr>
        <w:t xml:space="preserve">. </w:t>
      </w:r>
      <w:r w:rsidR="00802A8A" w:rsidRPr="00520C23">
        <w:rPr>
          <w:rFonts w:ascii="Calibri" w:eastAsia="Calibri" w:hAnsi="Calibri" w:cs="Calibri"/>
        </w:rPr>
        <w:t>The table below sets out the actions recommended by the Pepper Inquiry</w:t>
      </w:r>
      <w:r w:rsidR="00817282" w:rsidRPr="00520C23">
        <w:rPr>
          <w:rFonts w:ascii="Calibri" w:eastAsia="Calibri" w:hAnsi="Calibri" w:cs="Calibri"/>
        </w:rPr>
        <w:t xml:space="preserve"> and</w:t>
      </w:r>
      <w:r w:rsidR="00802A8A" w:rsidRPr="00520C23">
        <w:rPr>
          <w:rFonts w:ascii="Calibri" w:eastAsia="Calibri" w:hAnsi="Calibri" w:cs="Calibri"/>
        </w:rPr>
        <w:t xml:space="preserve"> evaluates whether the government’s implementation claims are justified</w:t>
      </w:r>
      <w:r w:rsidR="00CE2E8E">
        <w:rPr>
          <w:rFonts w:ascii="Calibri" w:eastAsia="Calibri" w:hAnsi="Calibri" w:cs="Calibri"/>
        </w:rPr>
        <w:t xml:space="preserve">. </w:t>
      </w:r>
      <w:r w:rsidR="000B0358" w:rsidRPr="00520C23">
        <w:rPr>
          <w:rFonts w:ascii="Calibri" w:eastAsia="Calibri" w:hAnsi="Calibri" w:cs="Calibri"/>
        </w:rPr>
        <w:t>The red shaded cells indicate those recommendations which</w:t>
      </w:r>
      <w:r w:rsidR="00A13C2D">
        <w:rPr>
          <w:rFonts w:ascii="Calibri" w:eastAsia="Calibri" w:hAnsi="Calibri" w:cs="Calibri"/>
        </w:rPr>
        <w:t xml:space="preserve"> </w:t>
      </w:r>
      <w:r w:rsidR="00DE2D46" w:rsidRPr="00520C23">
        <w:rPr>
          <w:rFonts w:ascii="Calibri" w:eastAsia="Calibri" w:hAnsi="Calibri" w:cs="Calibri"/>
        </w:rPr>
        <w:t>have</w:t>
      </w:r>
      <w:r w:rsidR="000B0358" w:rsidRPr="00520C23">
        <w:rPr>
          <w:rFonts w:ascii="Calibri" w:eastAsia="Calibri" w:hAnsi="Calibri" w:cs="Calibri"/>
        </w:rPr>
        <w:t xml:space="preserve"> not been properly </w:t>
      </w:r>
      <w:r w:rsidR="00802A8A" w:rsidRPr="00520C23">
        <w:rPr>
          <w:rFonts w:ascii="Calibri" w:eastAsia="Calibri" w:hAnsi="Calibri" w:cs="Calibri"/>
        </w:rPr>
        <w:t>implement</w:t>
      </w:r>
      <w:r w:rsidR="000B0358" w:rsidRPr="00520C23">
        <w:rPr>
          <w:rFonts w:ascii="Calibri" w:eastAsia="Calibri" w:hAnsi="Calibri" w:cs="Calibri"/>
        </w:rPr>
        <w:t>ed</w:t>
      </w:r>
      <w:r w:rsidR="00CE2E8E">
        <w:rPr>
          <w:rFonts w:ascii="Calibri" w:eastAsia="Calibri" w:hAnsi="Calibri" w:cs="Calibri"/>
        </w:rPr>
        <w:t xml:space="preserve">. </w:t>
      </w:r>
      <w:r w:rsidR="005A0001" w:rsidRPr="00520C23">
        <w:rPr>
          <w:rFonts w:ascii="Calibri" w:eastAsia="Calibri" w:hAnsi="Calibri" w:cs="Calibri"/>
        </w:rPr>
        <w:t xml:space="preserve">Those </w:t>
      </w:r>
      <w:r w:rsidR="00204D5C" w:rsidRPr="00520C23">
        <w:rPr>
          <w:rFonts w:ascii="Calibri" w:eastAsia="Calibri" w:hAnsi="Calibri" w:cs="Calibri"/>
        </w:rPr>
        <w:t xml:space="preserve">recommendations </w:t>
      </w:r>
      <w:r w:rsidR="005A0001" w:rsidRPr="00520C23">
        <w:rPr>
          <w:rFonts w:ascii="Calibri" w:eastAsia="Calibri" w:hAnsi="Calibri" w:cs="Calibri"/>
        </w:rPr>
        <w:t xml:space="preserve">that appear to be partially complete or have </w:t>
      </w:r>
      <w:r w:rsidR="00204D5C" w:rsidRPr="00520C23">
        <w:rPr>
          <w:rFonts w:ascii="Calibri" w:eastAsia="Calibri" w:hAnsi="Calibri" w:cs="Calibri"/>
        </w:rPr>
        <w:t xml:space="preserve">minor </w:t>
      </w:r>
      <w:r w:rsidR="005A0001" w:rsidRPr="00520C23">
        <w:rPr>
          <w:rFonts w:ascii="Calibri" w:eastAsia="Calibri" w:hAnsi="Calibri" w:cs="Calibri"/>
        </w:rPr>
        <w:t>issues with implementation are marked in yellow</w:t>
      </w:r>
      <w:r w:rsidR="00CE2E8E">
        <w:rPr>
          <w:rFonts w:ascii="Calibri" w:eastAsia="Calibri" w:hAnsi="Calibri" w:cs="Calibri"/>
        </w:rPr>
        <w:t xml:space="preserve">. </w:t>
      </w:r>
      <w:r w:rsidR="00204D5C" w:rsidRPr="00520C23">
        <w:rPr>
          <w:rFonts w:ascii="Calibri" w:eastAsia="Calibri" w:hAnsi="Calibri" w:cs="Calibri"/>
        </w:rPr>
        <w:t>Those that are adequately addressed are marked in green</w:t>
      </w:r>
      <w:r w:rsidR="00CE2E8E">
        <w:rPr>
          <w:rFonts w:ascii="Calibri" w:eastAsia="Calibri" w:hAnsi="Calibri" w:cs="Calibri"/>
        </w:rPr>
        <w:t xml:space="preserve">. </w:t>
      </w:r>
    </w:p>
    <w:p w14:paraId="4CAA8412" w14:textId="5882D022" w:rsidR="00960FD7" w:rsidRPr="00520C23" w:rsidRDefault="00960FD7" w:rsidP="003779A7">
      <w:pPr>
        <w:spacing w:before="120"/>
        <w:rPr>
          <w:rFonts w:ascii="Calibri" w:eastAsia="Calibri" w:hAnsi="Calibri" w:cs="Calibri"/>
          <w:color w:val="313131"/>
        </w:rPr>
      </w:pPr>
      <w:r w:rsidRPr="00520C23">
        <w:rPr>
          <w:rFonts w:ascii="Calibri" w:eastAsia="Calibri" w:hAnsi="Calibri" w:cs="Calibri"/>
          <w:color w:val="313131"/>
        </w:rPr>
        <w:t xml:space="preserve">It is noted that, in implementing these recommendations, the NT Government worked with independent scientific experts to develop a Code of Practice </w:t>
      </w:r>
      <w:r w:rsidR="003779A7" w:rsidRPr="00520C23">
        <w:rPr>
          <w:rFonts w:ascii="Calibri" w:eastAsia="Calibri" w:hAnsi="Calibri" w:cs="Calibri"/>
          <w:color w:val="313131"/>
        </w:rPr>
        <w:t>(</w:t>
      </w:r>
      <w:r w:rsidR="003779A7" w:rsidRPr="00520C23">
        <w:rPr>
          <w:rFonts w:ascii="Calibri" w:eastAsia="Calibri" w:hAnsi="Calibri" w:cs="Calibri"/>
          <w:b/>
          <w:bCs/>
          <w:color w:val="313131"/>
        </w:rPr>
        <w:t>Code</w:t>
      </w:r>
      <w:r w:rsidR="003779A7" w:rsidRPr="00520C23">
        <w:rPr>
          <w:rFonts w:ascii="Calibri" w:eastAsia="Calibri" w:hAnsi="Calibri" w:cs="Calibri"/>
          <w:color w:val="313131"/>
        </w:rPr>
        <w:t xml:space="preserve">), which </w:t>
      </w:r>
      <w:r w:rsidRPr="00520C23">
        <w:rPr>
          <w:rFonts w:ascii="Calibri" w:eastAsia="Calibri" w:hAnsi="Calibri" w:cs="Calibri"/>
          <w:color w:val="313131"/>
        </w:rPr>
        <w:t xml:space="preserve">is legally enforceable through the </w:t>
      </w:r>
      <w:r w:rsidRPr="00520C23">
        <w:rPr>
          <w:rFonts w:ascii="Calibri" w:eastAsia="Calibri" w:hAnsi="Calibri" w:cs="Calibri"/>
          <w:i/>
          <w:iCs/>
          <w:color w:val="313131"/>
        </w:rPr>
        <w:t>Petroleum (Environment) Regulations 2016</w:t>
      </w:r>
      <w:r w:rsidR="003779A7" w:rsidRPr="00520C23">
        <w:rPr>
          <w:rFonts w:ascii="Calibri" w:eastAsia="Calibri" w:hAnsi="Calibri" w:cs="Calibri"/>
          <w:color w:val="313131"/>
        </w:rPr>
        <w:t xml:space="preserve"> (NT) (</w:t>
      </w:r>
      <w:r w:rsidR="003779A7" w:rsidRPr="00520C23">
        <w:rPr>
          <w:rFonts w:ascii="Calibri" w:eastAsia="Calibri" w:hAnsi="Calibri" w:cs="Calibri"/>
          <w:b/>
          <w:bCs/>
          <w:color w:val="313131"/>
        </w:rPr>
        <w:t>PER</w:t>
      </w:r>
      <w:r w:rsidR="003779A7" w:rsidRPr="00520C23">
        <w:rPr>
          <w:rFonts w:ascii="Calibri" w:eastAsia="Calibri" w:hAnsi="Calibri" w:cs="Calibri"/>
          <w:color w:val="313131"/>
        </w:rPr>
        <w:t>)</w:t>
      </w:r>
      <w:r w:rsidR="00CE2E8E">
        <w:rPr>
          <w:rFonts w:ascii="Calibri" w:eastAsia="Calibri" w:hAnsi="Calibri" w:cs="Calibri"/>
          <w:color w:val="313131"/>
        </w:rPr>
        <w:t xml:space="preserve">. </w:t>
      </w:r>
      <w:r w:rsidRPr="00520C23">
        <w:rPr>
          <w:rFonts w:ascii="Calibri" w:eastAsia="Calibri" w:hAnsi="Calibri" w:cs="Calibri"/>
          <w:color w:val="313131"/>
        </w:rPr>
        <w:t xml:space="preserve">The finalised Code was published on 12 June 2019 and can be found </w:t>
      </w:r>
      <w:hyperlink r:id="rId13">
        <w:r w:rsidRPr="00520C23">
          <w:rPr>
            <w:rStyle w:val="Hyperlink"/>
            <w:rFonts w:ascii="Calibri" w:eastAsia="Calibri" w:hAnsi="Calibri" w:cs="Calibri"/>
          </w:rPr>
          <w:t>here</w:t>
        </w:r>
      </w:hyperlink>
      <w:r w:rsidR="00CE2E8E">
        <w:rPr>
          <w:rFonts w:ascii="Calibri" w:eastAsia="Calibri" w:hAnsi="Calibri" w:cs="Calibri"/>
          <w:color w:val="313131"/>
        </w:rPr>
        <w:t xml:space="preserve">. </w:t>
      </w:r>
      <w:r w:rsidR="003779A7" w:rsidRPr="00520C23">
        <w:rPr>
          <w:rFonts w:ascii="Calibri" w:eastAsia="Calibri" w:hAnsi="Calibri" w:cs="Calibri"/>
          <w:color w:val="313131"/>
        </w:rPr>
        <w:t>Further, p</w:t>
      </w:r>
      <w:r w:rsidRPr="00520C23">
        <w:rPr>
          <w:rFonts w:ascii="Calibri" w:eastAsia="Calibri" w:hAnsi="Calibri" w:cs="Calibri"/>
          <w:color w:val="313131"/>
        </w:rPr>
        <w:t>ursuant to the Petroleum Act, the NT government also published the Schedule of Onshore Petroleum Exploration and Production Requirements</w:t>
      </w:r>
      <w:r w:rsidR="003779A7" w:rsidRPr="00520C23">
        <w:rPr>
          <w:rFonts w:ascii="Calibri" w:eastAsia="Calibri" w:hAnsi="Calibri" w:cs="Calibri"/>
          <w:color w:val="313131"/>
        </w:rPr>
        <w:t xml:space="preserve"> for the NT (</w:t>
      </w:r>
      <w:r w:rsidR="003779A7" w:rsidRPr="00520C23">
        <w:rPr>
          <w:rFonts w:ascii="Calibri" w:eastAsia="Calibri" w:hAnsi="Calibri" w:cs="Calibri"/>
          <w:b/>
          <w:bCs/>
          <w:color w:val="313131"/>
        </w:rPr>
        <w:t>Schedule</w:t>
      </w:r>
      <w:r w:rsidR="003779A7" w:rsidRPr="00520C23">
        <w:rPr>
          <w:rFonts w:ascii="Calibri" w:eastAsia="Calibri" w:hAnsi="Calibri" w:cs="Calibri"/>
          <w:color w:val="313131"/>
        </w:rPr>
        <w:t>)</w:t>
      </w:r>
      <w:r w:rsidR="00CE2E8E">
        <w:rPr>
          <w:rFonts w:ascii="Calibri" w:eastAsia="Calibri" w:hAnsi="Calibri" w:cs="Calibri"/>
          <w:color w:val="313131"/>
        </w:rPr>
        <w:t xml:space="preserve">. </w:t>
      </w:r>
      <w:r w:rsidR="003779A7" w:rsidRPr="00520C23">
        <w:rPr>
          <w:rFonts w:ascii="Calibri" w:eastAsia="Calibri" w:hAnsi="Calibri" w:cs="Calibri"/>
          <w:color w:val="313131"/>
        </w:rPr>
        <w:t>T</w:t>
      </w:r>
      <w:r w:rsidRPr="00520C23">
        <w:rPr>
          <w:rFonts w:ascii="Calibri" w:eastAsia="Calibri" w:hAnsi="Calibri" w:cs="Calibri"/>
          <w:color w:val="313131"/>
        </w:rPr>
        <w:t xml:space="preserve">he latest version, dated 1 June 2021, can be found </w:t>
      </w:r>
      <w:hyperlink r:id="rId14" w:history="1">
        <w:r w:rsidRPr="00520C23">
          <w:rPr>
            <w:rStyle w:val="Hyperlink"/>
            <w:rFonts w:ascii="Calibri" w:eastAsia="Calibri" w:hAnsi="Calibri" w:cs="Calibri"/>
          </w:rPr>
          <w:t>here</w:t>
        </w:r>
      </w:hyperlink>
      <w:r w:rsidR="00CE2E8E">
        <w:rPr>
          <w:rFonts w:ascii="Calibri" w:eastAsia="Calibri" w:hAnsi="Calibri" w:cs="Calibri"/>
          <w:color w:val="313131"/>
        </w:rPr>
        <w:t xml:space="preserve">. </w:t>
      </w:r>
      <w:r w:rsidR="00280388">
        <w:rPr>
          <w:rFonts w:ascii="Calibri" w:eastAsia="Calibri" w:hAnsi="Calibri" w:cs="Calibri"/>
          <w:color w:val="313131"/>
        </w:rPr>
        <w:t>The</w:t>
      </w:r>
      <w:r w:rsidR="00E82DBB">
        <w:rPr>
          <w:rFonts w:ascii="Calibri" w:eastAsia="Calibri" w:hAnsi="Calibri" w:cs="Calibri"/>
          <w:color w:val="313131"/>
        </w:rPr>
        <w:t xml:space="preserve"> Beetaloo</w:t>
      </w:r>
      <w:r w:rsidR="00280388">
        <w:rPr>
          <w:rFonts w:ascii="Calibri" w:eastAsia="Calibri" w:hAnsi="Calibri" w:cs="Calibri"/>
          <w:color w:val="313131"/>
        </w:rPr>
        <w:t xml:space="preserve"> Strategic Regional Environmental and Baseline Assessment (</w:t>
      </w:r>
      <w:hyperlink r:id="rId15" w:history="1">
        <w:r w:rsidR="00280388" w:rsidRPr="00F90BAA">
          <w:rPr>
            <w:rStyle w:val="Hyperlink"/>
            <w:rFonts w:ascii="Calibri" w:eastAsia="Calibri" w:hAnsi="Calibri" w:cs="Calibri"/>
            <w:b/>
            <w:bCs/>
          </w:rPr>
          <w:t>SREBA</w:t>
        </w:r>
      </w:hyperlink>
      <w:r w:rsidR="00280388">
        <w:rPr>
          <w:rFonts w:ascii="Calibri" w:eastAsia="Calibri" w:hAnsi="Calibri" w:cs="Calibri"/>
          <w:color w:val="313131"/>
        </w:rPr>
        <w:t>)</w:t>
      </w:r>
      <w:r w:rsidR="00E82DBB">
        <w:rPr>
          <w:rFonts w:ascii="Calibri" w:eastAsia="Calibri" w:hAnsi="Calibri" w:cs="Calibri"/>
          <w:color w:val="313131"/>
        </w:rPr>
        <w:t xml:space="preserve"> </w:t>
      </w:r>
      <w:r w:rsidR="00280388">
        <w:rPr>
          <w:rFonts w:ascii="Calibri" w:eastAsia="Calibri" w:hAnsi="Calibri" w:cs="Calibri"/>
          <w:color w:val="313131"/>
        </w:rPr>
        <w:t xml:space="preserve">was released on April </w:t>
      </w:r>
      <w:r w:rsidR="0050704C">
        <w:rPr>
          <w:rFonts w:ascii="Calibri" w:eastAsia="Calibri" w:hAnsi="Calibri" w:cs="Calibri"/>
          <w:color w:val="313131"/>
        </w:rPr>
        <w:t>18, 2023</w:t>
      </w:r>
      <w:r w:rsidR="00CE2E8E">
        <w:rPr>
          <w:rFonts w:ascii="Calibri" w:eastAsia="Calibri" w:hAnsi="Calibri" w:cs="Calibri"/>
          <w:color w:val="313131"/>
        </w:rPr>
        <w:t xml:space="preserve">. </w:t>
      </w:r>
      <w:r w:rsidR="00804686">
        <w:rPr>
          <w:rFonts w:ascii="Calibri" w:eastAsia="Calibri" w:hAnsi="Calibri" w:cs="Calibri"/>
          <w:color w:val="313131"/>
        </w:rPr>
        <w:t>Links to other sources mentioned in the NT government’s justification of “completed” implementation status can be found in the relevant rows.</w:t>
      </w:r>
    </w:p>
    <w:p w14:paraId="790DDA21" w14:textId="2D822A56" w:rsidR="00802A8A" w:rsidRPr="00520C23" w:rsidRDefault="00675267" w:rsidP="00675267">
      <w:pPr>
        <w:tabs>
          <w:tab w:val="left" w:pos="7815"/>
        </w:tabs>
        <w:spacing w:before="120" w:after="0" w:line="240" w:lineRule="auto"/>
        <w:rPr>
          <w:rFonts w:ascii="Calibri" w:eastAsia="Calibri" w:hAnsi="Calibri" w:cs="Calibri"/>
        </w:rPr>
      </w:pPr>
      <w:r>
        <w:rPr>
          <w:rFonts w:ascii="Calibri" w:eastAsia="Calibri" w:hAnsi="Calibri" w:cs="Calibri"/>
        </w:rPr>
        <w:tab/>
      </w:r>
    </w:p>
    <w:p w14:paraId="17DD9748" w14:textId="278416E7" w:rsidR="5AB37B5A" w:rsidRPr="00520C23" w:rsidRDefault="00802A8A" w:rsidP="00F91295">
      <w:pPr>
        <w:pStyle w:val="Header"/>
        <w:tabs>
          <w:tab w:val="clear" w:pos="4680"/>
          <w:tab w:val="clear" w:pos="9360"/>
          <w:tab w:val="left" w:pos="14925"/>
        </w:tabs>
        <w:spacing w:before="120" w:line="360" w:lineRule="auto"/>
        <w:rPr>
          <w:rFonts w:ascii="Calibri" w:eastAsia="Calibri" w:hAnsi="Calibri" w:cs="Calibri"/>
        </w:rPr>
      </w:pPr>
      <w:r w:rsidRPr="00520C23">
        <w:rPr>
          <w:rFonts w:ascii="Calibri" w:eastAsia="Calibri" w:hAnsi="Calibri" w:cs="Calibri"/>
          <w:b/>
          <w:bCs/>
        </w:rPr>
        <w:t>ANALYSIS</w:t>
      </w:r>
      <w:r w:rsidR="00177F4C">
        <w:rPr>
          <w:rFonts w:ascii="Calibri" w:eastAsia="Calibri" w:hAnsi="Calibri" w:cs="Calibri"/>
          <w:b/>
          <w:bCs/>
        </w:rPr>
        <w:tab/>
      </w:r>
    </w:p>
    <w:tbl>
      <w:tblPr>
        <w:tblStyle w:val="TableGrid"/>
        <w:tblW w:w="22405" w:type="dxa"/>
        <w:tblLayout w:type="fixed"/>
        <w:tblLook w:val="04A0" w:firstRow="1" w:lastRow="0" w:firstColumn="1" w:lastColumn="0" w:noHBand="0" w:noVBand="1"/>
      </w:tblPr>
      <w:tblGrid>
        <w:gridCol w:w="846"/>
        <w:gridCol w:w="4819"/>
        <w:gridCol w:w="5760"/>
        <w:gridCol w:w="5670"/>
        <w:gridCol w:w="5310"/>
      </w:tblGrid>
      <w:tr w:rsidR="00E95AC2" w:rsidRPr="00520C23" w14:paraId="2021B3FF" w14:textId="63F6ADAF" w:rsidTr="00EA3C33">
        <w:trPr>
          <w:tblHeader/>
        </w:trPr>
        <w:tc>
          <w:tcPr>
            <w:tcW w:w="846" w:type="dxa"/>
            <w:shd w:val="clear" w:color="auto" w:fill="2F5496" w:themeFill="accent1" w:themeFillShade="BF"/>
          </w:tcPr>
          <w:p w14:paraId="28558E45" w14:textId="53C7155B" w:rsidR="000B089B" w:rsidRPr="00520C23" w:rsidRDefault="000B089B" w:rsidP="00A16A54">
            <w:pPr>
              <w:spacing w:before="120"/>
              <w:rPr>
                <w:rFonts w:cstheme="minorHAnsi"/>
                <w:b/>
                <w:color w:val="FFFFFF" w:themeColor="background1"/>
              </w:rPr>
            </w:pPr>
            <w:r w:rsidRPr="00520C23">
              <w:rPr>
                <w:rFonts w:cstheme="minorHAnsi"/>
                <w:b/>
                <w:color w:val="FFFFFF" w:themeColor="background1"/>
              </w:rPr>
              <w:t>Rec #</w:t>
            </w:r>
          </w:p>
        </w:tc>
        <w:tc>
          <w:tcPr>
            <w:tcW w:w="4819" w:type="dxa"/>
            <w:shd w:val="clear" w:color="auto" w:fill="2F5496" w:themeFill="accent1" w:themeFillShade="BF"/>
          </w:tcPr>
          <w:p w14:paraId="6018527F" w14:textId="5A548F89" w:rsidR="000B089B" w:rsidRPr="00520C23" w:rsidRDefault="000B089B" w:rsidP="00A16A54">
            <w:pPr>
              <w:spacing w:before="120"/>
              <w:rPr>
                <w:rFonts w:cstheme="minorHAnsi"/>
                <w:b/>
                <w:color w:val="FFFFFF" w:themeColor="background1"/>
              </w:rPr>
            </w:pPr>
            <w:r w:rsidRPr="00520C23">
              <w:rPr>
                <w:rFonts w:cstheme="minorHAnsi"/>
                <w:b/>
                <w:color w:val="FFFFFF" w:themeColor="background1"/>
              </w:rPr>
              <w:t xml:space="preserve">Final Report - detailed recommendation </w:t>
            </w:r>
          </w:p>
        </w:tc>
        <w:tc>
          <w:tcPr>
            <w:tcW w:w="5760" w:type="dxa"/>
            <w:shd w:val="clear" w:color="auto" w:fill="2F5496" w:themeFill="accent1" w:themeFillShade="BF"/>
          </w:tcPr>
          <w:p w14:paraId="7F39EC28" w14:textId="54033357" w:rsidR="000B089B" w:rsidRPr="00520C23" w:rsidRDefault="000B089B" w:rsidP="00A16A54">
            <w:pPr>
              <w:spacing w:before="120"/>
              <w:rPr>
                <w:rFonts w:cstheme="minorHAnsi"/>
                <w:b/>
                <w:color w:val="FFFFFF" w:themeColor="background1"/>
              </w:rPr>
            </w:pPr>
            <w:r w:rsidRPr="00520C23">
              <w:rPr>
                <w:rFonts w:cstheme="minorHAnsi"/>
                <w:b/>
                <w:color w:val="FFFFFF" w:themeColor="background1"/>
              </w:rPr>
              <w:t>How does the NT government justify the 100% implementation status?</w:t>
            </w:r>
          </w:p>
        </w:tc>
        <w:tc>
          <w:tcPr>
            <w:tcW w:w="5670" w:type="dxa"/>
            <w:shd w:val="clear" w:color="auto" w:fill="2F5496" w:themeFill="accent1" w:themeFillShade="BF"/>
          </w:tcPr>
          <w:p w14:paraId="07333524" w14:textId="07FADAF1" w:rsidR="000B089B" w:rsidRPr="00520C23" w:rsidRDefault="000B089B" w:rsidP="00A16A54">
            <w:pPr>
              <w:spacing w:before="120"/>
              <w:rPr>
                <w:rFonts w:cstheme="minorHAnsi"/>
                <w:b/>
                <w:color w:val="FFFFFF" w:themeColor="background1"/>
              </w:rPr>
            </w:pPr>
            <w:r w:rsidRPr="00520C23">
              <w:rPr>
                <w:rFonts w:cstheme="minorHAnsi"/>
                <w:b/>
                <w:color w:val="FFFFFF" w:themeColor="background1"/>
              </w:rPr>
              <w:t>How has the NT government implemented this recommendation?</w:t>
            </w:r>
            <w:r w:rsidR="00B13284" w:rsidRPr="00520C23">
              <w:rPr>
                <w:rFonts w:cstheme="minorHAnsi"/>
                <w:b/>
                <w:color w:val="FFFFFF" w:themeColor="background1"/>
              </w:rPr>
              <w:t xml:space="preserve"> </w:t>
            </w:r>
          </w:p>
        </w:tc>
        <w:tc>
          <w:tcPr>
            <w:tcW w:w="5310" w:type="dxa"/>
            <w:shd w:val="clear" w:color="auto" w:fill="2F5496" w:themeFill="accent1" w:themeFillShade="BF"/>
          </w:tcPr>
          <w:p w14:paraId="645CFCDD" w14:textId="4D76B4B6" w:rsidR="000B089B" w:rsidRPr="00520C23" w:rsidRDefault="00890705" w:rsidP="00A16A54">
            <w:pPr>
              <w:spacing w:before="120"/>
              <w:rPr>
                <w:rFonts w:cstheme="minorHAnsi"/>
                <w:b/>
                <w:color w:val="FFFFFF" w:themeColor="background1"/>
              </w:rPr>
            </w:pPr>
            <w:r w:rsidRPr="00520C23">
              <w:rPr>
                <w:rFonts w:cstheme="minorHAnsi"/>
                <w:b/>
                <w:color w:val="FFFFFF" w:themeColor="background1"/>
              </w:rPr>
              <w:t>A</w:t>
            </w:r>
            <w:r w:rsidR="000B089B" w:rsidRPr="00520C23">
              <w:rPr>
                <w:rFonts w:cstheme="minorHAnsi"/>
                <w:b/>
                <w:color w:val="FFFFFF" w:themeColor="background1"/>
              </w:rPr>
              <w:t>nalysis of implementation</w:t>
            </w:r>
            <w:r w:rsidR="00B13284" w:rsidRPr="00520C23">
              <w:rPr>
                <w:rFonts w:cstheme="minorHAnsi"/>
                <w:b/>
                <w:color w:val="FFFFFF" w:themeColor="background1"/>
              </w:rPr>
              <w:t xml:space="preserve"> </w:t>
            </w:r>
            <w:r w:rsidR="000B089B" w:rsidRPr="00520C23">
              <w:rPr>
                <w:rFonts w:cstheme="minorHAnsi"/>
                <w:b/>
                <w:color w:val="FFFFFF" w:themeColor="background1"/>
              </w:rPr>
              <w:t>of the Fracking Inquiry’s recommendation</w:t>
            </w:r>
          </w:p>
        </w:tc>
      </w:tr>
      <w:tr w:rsidR="00EA3C33" w:rsidRPr="00520C23" w14:paraId="23C5EC00" w14:textId="77777777" w:rsidTr="00EA3C33">
        <w:tc>
          <w:tcPr>
            <w:tcW w:w="846" w:type="dxa"/>
            <w:shd w:val="clear" w:color="auto" w:fill="auto"/>
          </w:tcPr>
          <w:p w14:paraId="4508D981" w14:textId="77777777" w:rsidR="000B089B" w:rsidRPr="00520C23" w:rsidRDefault="000B089B" w:rsidP="004056C4">
            <w:pPr>
              <w:spacing w:before="120"/>
              <w:jc w:val="center"/>
              <w:rPr>
                <w:rFonts w:cstheme="minorHAnsi"/>
              </w:rPr>
            </w:pPr>
            <w:r w:rsidRPr="00520C23">
              <w:rPr>
                <w:rFonts w:cstheme="minorHAnsi"/>
              </w:rPr>
              <w:t>5.1</w:t>
            </w:r>
          </w:p>
        </w:tc>
        <w:tc>
          <w:tcPr>
            <w:tcW w:w="4819" w:type="dxa"/>
          </w:tcPr>
          <w:p w14:paraId="5D026286" w14:textId="77777777" w:rsidR="000B089B" w:rsidRPr="00520C23" w:rsidRDefault="000B089B" w:rsidP="004056C4">
            <w:pPr>
              <w:spacing w:before="120"/>
              <w:rPr>
                <w:rFonts w:cstheme="minorHAnsi"/>
                <w:i/>
                <w:iCs/>
              </w:rPr>
            </w:pPr>
            <w:r w:rsidRPr="00520C23">
              <w:rPr>
                <w:rFonts w:cstheme="minorHAnsi"/>
                <w:i/>
                <w:iCs/>
              </w:rPr>
              <w:t xml:space="preserve">That prior to the grant of any further exploration approvals, the Government mandates an enforceable code of practice setting out minimum requirements for the decommissioning of any onshore shale gas wells in the NT. </w:t>
            </w:r>
          </w:p>
          <w:p w14:paraId="3F8A86B9" w14:textId="77777777" w:rsidR="000B089B" w:rsidRPr="00520C23" w:rsidRDefault="000B089B" w:rsidP="004056C4">
            <w:pPr>
              <w:spacing w:before="120"/>
              <w:rPr>
                <w:rFonts w:cstheme="minorHAnsi"/>
                <w:i/>
                <w:iCs/>
              </w:rPr>
            </w:pPr>
            <w:r w:rsidRPr="00520C23">
              <w:rPr>
                <w:rFonts w:cstheme="minorHAnsi"/>
                <w:i/>
                <w:iCs/>
              </w:rPr>
              <w:t xml:space="preserve">The development of this code must draw on world-leading practice. It must be sufficiently flexible to accommodate improved decommissioning technologies. </w:t>
            </w:r>
            <w:r w:rsidRPr="00520C23">
              <w:rPr>
                <w:rFonts w:cstheme="minorHAnsi"/>
                <w:b/>
                <w:bCs/>
                <w:i/>
                <w:iCs/>
              </w:rPr>
              <w:t>The code must include a requirement that:</w:t>
            </w:r>
            <w:r w:rsidRPr="00520C23">
              <w:rPr>
                <w:rFonts w:cstheme="minorHAnsi"/>
                <w:i/>
                <w:iCs/>
              </w:rPr>
              <w:t xml:space="preserve"> </w:t>
            </w:r>
          </w:p>
          <w:p w14:paraId="405F2B18" w14:textId="0A47F5D2"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wells undergo pressure and cement integrity tests as part of the decommissioning process, with any identified defects to be repaired prior to abandoning the well; and </w:t>
            </w:r>
          </w:p>
          <w:p w14:paraId="1E0500ED" w14:textId="783D71AC"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cement plugs be placed to isolate critical formations and that testing must be conducted to confirm that the plugs have been properly set in the well.</w:t>
            </w:r>
            <w:r w:rsidR="00B13284" w:rsidRPr="00520C23">
              <w:rPr>
                <w:rFonts w:cstheme="minorHAnsi"/>
                <w:i/>
                <w:iCs/>
              </w:rPr>
              <w:t xml:space="preserve"> </w:t>
            </w:r>
            <w:r w:rsidRPr="00520C23">
              <w:rPr>
                <w:rFonts w:cstheme="minorHAnsi"/>
                <w:i/>
                <w:iCs/>
              </w:rPr>
              <w:t xml:space="preserve"> </w:t>
            </w:r>
          </w:p>
        </w:tc>
        <w:tc>
          <w:tcPr>
            <w:tcW w:w="5760" w:type="dxa"/>
          </w:tcPr>
          <w:p w14:paraId="7B5D53F0" w14:textId="5F67B38B" w:rsidR="000B089B" w:rsidRPr="00520C23" w:rsidRDefault="00F8390F" w:rsidP="004056C4">
            <w:pPr>
              <w:spacing w:before="120"/>
              <w:rPr>
                <w:rFonts w:cstheme="minorHAnsi"/>
                <w:bCs/>
              </w:rPr>
            </w:pPr>
            <w:r w:rsidRPr="00520C23">
              <w:rPr>
                <w:rFonts w:cstheme="minorHAnsi"/>
                <w:bCs/>
              </w:rPr>
              <w:t xml:space="preserve">The </w:t>
            </w:r>
            <w:r w:rsidR="00290DE3" w:rsidRPr="00520C23">
              <w:rPr>
                <w:rFonts w:cstheme="minorHAnsi"/>
                <w:bCs/>
              </w:rPr>
              <w:t>NT</w:t>
            </w:r>
            <w:r w:rsidRPr="00520C23">
              <w:rPr>
                <w:rFonts w:cstheme="minorHAnsi"/>
                <w:bCs/>
              </w:rPr>
              <w:t xml:space="preserve"> Government worked with independent scientific experts to develop a Code of Practice relative to the Inquiry's recommendation. The Code is legally enforceable through the Petroleum (Environment) Regulations 2016. The finalised Code was published on 12 June 2019 and can be found </w:t>
            </w:r>
            <w:hyperlink r:id="rId16" w:history="1">
              <w:r w:rsidRPr="00520C23">
                <w:rPr>
                  <w:rStyle w:val="Hyperlink"/>
                  <w:rFonts w:cstheme="minorHAnsi"/>
                  <w:bCs/>
                </w:rPr>
                <w:t>here</w:t>
              </w:r>
            </w:hyperlink>
            <w:r w:rsidRPr="00520C23">
              <w:rPr>
                <w:rFonts w:cstheme="minorHAnsi"/>
                <w:bCs/>
              </w:rPr>
              <w:t>.</w:t>
            </w:r>
          </w:p>
        </w:tc>
        <w:tc>
          <w:tcPr>
            <w:tcW w:w="5670" w:type="dxa"/>
          </w:tcPr>
          <w:p w14:paraId="41014955" w14:textId="6C25A5FA" w:rsidR="000B089B" w:rsidRPr="00520C23" w:rsidRDefault="000B089B" w:rsidP="004056C4">
            <w:pPr>
              <w:spacing w:before="120"/>
              <w:rPr>
                <w:rFonts w:cstheme="minorHAnsi"/>
                <w:b/>
              </w:rPr>
            </w:pPr>
            <w:r w:rsidRPr="00520C23">
              <w:rPr>
                <w:rFonts w:cstheme="minorHAnsi"/>
                <w:b/>
              </w:rPr>
              <w:t>Code of Practice</w:t>
            </w:r>
          </w:p>
          <w:p w14:paraId="6967156C" w14:textId="677B5E3D" w:rsidR="000B089B" w:rsidRPr="00520C23" w:rsidRDefault="000B089B" w:rsidP="004056C4">
            <w:pPr>
              <w:spacing w:before="120"/>
              <w:rPr>
                <w:rFonts w:cstheme="minorHAnsi"/>
              </w:rPr>
            </w:pPr>
            <w:r w:rsidRPr="00520C23">
              <w:rPr>
                <w:rFonts w:cstheme="minorHAnsi"/>
              </w:rPr>
              <w:t>Part B.4.15 of the Code addresses</w:t>
            </w:r>
            <w:r w:rsidR="00A41EC4" w:rsidRPr="00520C23">
              <w:rPr>
                <w:rFonts w:cstheme="minorHAnsi"/>
              </w:rPr>
              <w:t xml:space="preserve"> the</w:t>
            </w:r>
            <w:r w:rsidRPr="00520C23">
              <w:rPr>
                <w:rFonts w:cstheme="minorHAnsi"/>
              </w:rPr>
              <w:t xml:space="preserve"> well suspension and decommissioning</w:t>
            </w:r>
            <w:r w:rsidR="00A41EC4" w:rsidRPr="00520C23">
              <w:rPr>
                <w:rFonts w:cstheme="minorHAnsi"/>
              </w:rPr>
              <w:t xml:space="preserve"> requirements</w:t>
            </w:r>
            <w:r w:rsidRPr="00520C23">
              <w:rPr>
                <w:rFonts w:cstheme="minorHAnsi"/>
              </w:rPr>
              <w:t>:</w:t>
            </w:r>
            <w:r w:rsidR="00B13284" w:rsidRPr="00520C23">
              <w:rPr>
                <w:rFonts w:cstheme="minorHAnsi"/>
              </w:rPr>
              <w:t xml:space="preserve"> </w:t>
            </w:r>
          </w:p>
          <w:p w14:paraId="32ADBE61" w14:textId="77777777" w:rsidR="000B089B" w:rsidRPr="00520C23" w:rsidRDefault="000B089B" w:rsidP="009437DC">
            <w:pPr>
              <w:pStyle w:val="ListParagraph"/>
              <w:numPr>
                <w:ilvl w:val="0"/>
                <w:numId w:val="1"/>
              </w:numPr>
              <w:spacing w:before="120"/>
              <w:rPr>
                <w:rFonts w:cstheme="minorHAnsi"/>
              </w:rPr>
            </w:pPr>
            <w:r w:rsidRPr="00520C23">
              <w:rPr>
                <w:rFonts w:cstheme="minorHAnsi"/>
              </w:rPr>
              <w:t xml:space="preserve">B.4.15.1 Principles </w:t>
            </w:r>
          </w:p>
          <w:p w14:paraId="4E6D6987" w14:textId="77777777" w:rsidR="000B089B" w:rsidRPr="00520C23" w:rsidRDefault="000B089B" w:rsidP="009437DC">
            <w:pPr>
              <w:pStyle w:val="ListParagraph"/>
              <w:numPr>
                <w:ilvl w:val="0"/>
                <w:numId w:val="1"/>
              </w:numPr>
              <w:spacing w:before="120"/>
              <w:rPr>
                <w:rFonts w:cstheme="minorHAnsi"/>
              </w:rPr>
            </w:pPr>
            <w:r w:rsidRPr="00520C23">
              <w:rPr>
                <w:rFonts w:cstheme="minorHAnsi"/>
              </w:rPr>
              <w:t>B.4.15.2 Mandatory requirements for decommissioning wells</w:t>
            </w:r>
          </w:p>
          <w:p w14:paraId="56763529" w14:textId="1FB45892" w:rsidR="000B089B" w:rsidRPr="00520C23" w:rsidRDefault="000B089B" w:rsidP="009437DC">
            <w:pPr>
              <w:pStyle w:val="ListParagraph"/>
              <w:numPr>
                <w:ilvl w:val="0"/>
                <w:numId w:val="1"/>
              </w:numPr>
              <w:rPr>
                <w:rFonts w:cstheme="minorHAnsi"/>
              </w:rPr>
            </w:pPr>
            <w:r w:rsidRPr="00520C23">
              <w:rPr>
                <w:rFonts w:cstheme="minorHAnsi"/>
              </w:rPr>
              <w:t xml:space="preserve">B.4.15.3 Cement plug requirements and validation methods </w:t>
            </w:r>
          </w:p>
          <w:p w14:paraId="0FE24CED" w14:textId="77777777" w:rsidR="000B089B" w:rsidRPr="00520C23" w:rsidRDefault="000B089B" w:rsidP="004056C4">
            <w:pPr>
              <w:spacing w:before="120"/>
              <w:rPr>
                <w:rFonts w:cstheme="minorHAnsi"/>
              </w:rPr>
            </w:pPr>
          </w:p>
        </w:tc>
        <w:tc>
          <w:tcPr>
            <w:tcW w:w="5310" w:type="dxa"/>
            <w:shd w:val="clear" w:color="auto" w:fill="E2EFD9" w:themeFill="accent6" w:themeFillTint="33"/>
          </w:tcPr>
          <w:p w14:paraId="77ADCA34" w14:textId="760EDF12" w:rsidR="000B089B" w:rsidRPr="00520C23" w:rsidRDefault="3084D7C9" w:rsidP="004056C4">
            <w:pPr>
              <w:spacing w:before="120"/>
            </w:pPr>
            <w:r w:rsidRPr="00520C23">
              <w:t xml:space="preserve">The </w:t>
            </w:r>
            <w:r w:rsidR="000B089B" w:rsidRPr="00520C23">
              <w:t xml:space="preserve">Code </w:t>
            </w:r>
            <w:r w:rsidR="00FC1405" w:rsidRPr="00520C23">
              <w:t xml:space="preserve">adequately addresses </w:t>
            </w:r>
            <w:r w:rsidR="00C849AC" w:rsidRPr="00520C23">
              <w:t>recommendation 5.1</w:t>
            </w:r>
            <w:r w:rsidR="009E5674" w:rsidRPr="00520C23">
              <w:t>.</w:t>
            </w:r>
          </w:p>
          <w:p w14:paraId="03CE7E0A" w14:textId="05066F9C" w:rsidR="000B089B" w:rsidRPr="00520C23" w:rsidRDefault="000B089B" w:rsidP="004056C4">
            <w:pPr>
              <w:spacing w:before="120"/>
              <w:rPr>
                <w:rFonts w:cstheme="minorHAnsi"/>
              </w:rPr>
            </w:pPr>
          </w:p>
        </w:tc>
      </w:tr>
      <w:tr w:rsidR="00EA3C33" w:rsidRPr="00520C23" w14:paraId="4DFD0516" w14:textId="77777777" w:rsidTr="00EA3C33">
        <w:tc>
          <w:tcPr>
            <w:tcW w:w="846" w:type="dxa"/>
            <w:shd w:val="clear" w:color="auto" w:fill="auto"/>
          </w:tcPr>
          <w:p w14:paraId="32E0FFAD" w14:textId="318F3CCF" w:rsidR="00F24B5F" w:rsidRPr="00520C23" w:rsidRDefault="00F24B5F" w:rsidP="004056C4">
            <w:pPr>
              <w:spacing w:before="120"/>
              <w:jc w:val="center"/>
              <w:rPr>
                <w:rFonts w:cstheme="minorHAnsi"/>
              </w:rPr>
            </w:pPr>
            <w:r>
              <w:rPr>
                <w:rFonts w:cstheme="minorHAnsi"/>
              </w:rPr>
              <w:t>5.2</w:t>
            </w:r>
          </w:p>
        </w:tc>
        <w:tc>
          <w:tcPr>
            <w:tcW w:w="4819" w:type="dxa"/>
          </w:tcPr>
          <w:p w14:paraId="0EC56DB6" w14:textId="77777777" w:rsidR="00917486" w:rsidRPr="00917486" w:rsidRDefault="00917486" w:rsidP="00917486">
            <w:pPr>
              <w:spacing w:before="120"/>
              <w:rPr>
                <w:rFonts w:cstheme="minorHAnsi"/>
                <w:i/>
                <w:iCs/>
                <w:lang w:val="en-US"/>
              </w:rPr>
            </w:pPr>
            <w:r w:rsidRPr="00917486">
              <w:rPr>
                <w:rFonts w:cstheme="minorHAnsi"/>
                <w:i/>
                <w:iCs/>
                <w:lang w:val="en-US"/>
              </w:rPr>
              <w:t>That the Government:</w:t>
            </w:r>
          </w:p>
          <w:p w14:paraId="470EA83F" w14:textId="77777777" w:rsidR="00917486" w:rsidRPr="00917486" w:rsidRDefault="00917486" w:rsidP="00917486">
            <w:pPr>
              <w:numPr>
                <w:ilvl w:val="0"/>
                <w:numId w:val="105"/>
              </w:numPr>
              <w:spacing w:before="120"/>
              <w:rPr>
                <w:rFonts w:cstheme="minorHAnsi"/>
                <w:i/>
                <w:iCs/>
                <w:lang w:val="en-US"/>
              </w:rPr>
            </w:pPr>
            <w:r w:rsidRPr="00917486">
              <w:rPr>
                <w:rFonts w:cstheme="minorHAnsi"/>
                <w:i/>
                <w:iCs/>
                <w:lang w:val="en-US"/>
              </w:rPr>
              <w:t xml:space="preserve">implements a mandatory program for regular monitoring by gas companies of decommissioned onshore shale gas wells (including exploration wells), with the results from the monitoring to be publicly reported in real-time. If the performance of a decommissioned well is determined to be acceptable to the regulator then the gas </w:t>
            </w:r>
            <w:r w:rsidRPr="00917486">
              <w:rPr>
                <w:rFonts w:cstheme="minorHAnsi"/>
                <w:i/>
                <w:iCs/>
                <w:lang w:val="en-US"/>
              </w:rPr>
              <w:lastRenderedPageBreak/>
              <w:t>company may apply for relinquishment of the well to the Government; and</w:t>
            </w:r>
          </w:p>
          <w:p w14:paraId="18595D85" w14:textId="77777777" w:rsidR="00917486" w:rsidRPr="00917486" w:rsidRDefault="00917486" w:rsidP="00917486">
            <w:pPr>
              <w:numPr>
                <w:ilvl w:val="0"/>
                <w:numId w:val="105"/>
              </w:numPr>
              <w:spacing w:before="120"/>
              <w:rPr>
                <w:rFonts w:cstheme="minorHAnsi"/>
                <w:i/>
                <w:iCs/>
                <w:lang w:val="en-US"/>
              </w:rPr>
            </w:pPr>
            <w:r w:rsidRPr="00917486">
              <w:rPr>
                <w:rFonts w:cstheme="minorHAnsi"/>
                <w:i/>
                <w:iCs/>
                <w:lang w:val="en-US"/>
              </w:rPr>
              <w:t>implements a program for the ongoing monitoring of all orphan wells.</w:t>
            </w:r>
          </w:p>
          <w:p w14:paraId="7CBD51B5" w14:textId="77777777" w:rsidR="00F24B5F" w:rsidRPr="00917486" w:rsidRDefault="00F24B5F" w:rsidP="004056C4">
            <w:pPr>
              <w:spacing w:before="120"/>
              <w:rPr>
                <w:rFonts w:cstheme="minorHAnsi"/>
                <w:i/>
                <w:iCs/>
                <w:lang w:val="en-US"/>
              </w:rPr>
            </w:pPr>
          </w:p>
        </w:tc>
        <w:tc>
          <w:tcPr>
            <w:tcW w:w="5760" w:type="dxa"/>
          </w:tcPr>
          <w:p w14:paraId="0BA76BF3" w14:textId="77777777" w:rsidR="00917486" w:rsidRPr="00917486" w:rsidRDefault="00917486" w:rsidP="00917486">
            <w:pPr>
              <w:spacing w:before="120"/>
              <w:rPr>
                <w:rFonts w:cstheme="minorHAnsi"/>
                <w:bCs/>
                <w:lang w:val="en-US"/>
              </w:rPr>
            </w:pPr>
            <w:r w:rsidRPr="00917486">
              <w:rPr>
                <w:rFonts w:cstheme="minorHAnsi"/>
                <w:bCs/>
                <w:lang w:val="en-US"/>
              </w:rPr>
              <w:lastRenderedPageBreak/>
              <w:t>The NT Government commissioned CSIRO/ Gas Industry Social and Environment Research Alliance (GISERA) to evaluate options for the long-term monitoring of decommissioned wells in the Northern Territory. The ‘Assessing practices and monitoring for onshore gas well decommissioning in the NT’ report was published in May 2022 and details an appropriate monitoring methodology and program for decommissioned wells. Decommissioning of wells are required under the Petroleum Act. Decommissioned well status will be made public on POINT portal.</w:t>
            </w:r>
          </w:p>
          <w:p w14:paraId="30E4FE41" w14:textId="77777777" w:rsidR="00917486" w:rsidRPr="00917486" w:rsidRDefault="00917486" w:rsidP="00917486">
            <w:pPr>
              <w:spacing w:before="120"/>
              <w:rPr>
                <w:rFonts w:cstheme="minorHAnsi"/>
                <w:bCs/>
                <w:lang w:val="en-US"/>
              </w:rPr>
            </w:pPr>
            <w:r w:rsidRPr="00917486">
              <w:rPr>
                <w:rFonts w:cstheme="minorHAnsi"/>
                <w:bCs/>
                <w:lang w:val="en-US"/>
              </w:rPr>
              <w:lastRenderedPageBreak/>
              <w:t>The NT Government has been systematically assessing the status of all 112 orphan wells in the Territory since 2021. Desktop and field inspections have been undertaken as part of this monitoring program. The risk-based monitoring of all orphan wells is now ongoing and will inform the need for any remediation works required on the orphan wells. Please refer to Inquiry </w:t>
            </w:r>
            <w:hyperlink r:id="rId17" w:history="1">
              <w:r w:rsidRPr="00917486">
                <w:rPr>
                  <w:rStyle w:val="Hyperlink"/>
                  <w:rFonts w:cstheme="minorHAnsi"/>
                  <w:bCs/>
                  <w:lang w:val="en-US"/>
                </w:rPr>
                <w:t>Recommendation 14.14 Orphan Well Levy</w:t>
              </w:r>
            </w:hyperlink>
            <w:r w:rsidRPr="00917486">
              <w:rPr>
                <w:rFonts w:cstheme="minorHAnsi"/>
                <w:bCs/>
                <w:lang w:val="en-US"/>
              </w:rPr>
              <w:t> for further on how any required works will be funded by industry.</w:t>
            </w:r>
          </w:p>
          <w:p w14:paraId="5BFAC732" w14:textId="77777777" w:rsidR="00917486" w:rsidRPr="00917486" w:rsidRDefault="00917486" w:rsidP="00917486">
            <w:pPr>
              <w:spacing w:before="120"/>
              <w:rPr>
                <w:rFonts w:cstheme="minorHAnsi"/>
                <w:bCs/>
                <w:lang w:val="en-US"/>
              </w:rPr>
            </w:pPr>
            <w:r w:rsidRPr="00917486">
              <w:rPr>
                <w:rFonts w:cstheme="minorHAnsi"/>
                <w:bCs/>
                <w:lang w:val="en-US"/>
              </w:rPr>
              <w:t>Gas companies must monitor and report on all decommissioned wells as part of their Well Operations Management Plans.</w:t>
            </w:r>
          </w:p>
          <w:p w14:paraId="05F47FFF" w14:textId="77777777" w:rsidR="00F24B5F" w:rsidRPr="00917486" w:rsidRDefault="00F24B5F" w:rsidP="004056C4">
            <w:pPr>
              <w:spacing w:before="120"/>
              <w:rPr>
                <w:rFonts w:cstheme="minorHAnsi"/>
                <w:bCs/>
                <w:lang w:val="en-US"/>
              </w:rPr>
            </w:pPr>
          </w:p>
        </w:tc>
        <w:tc>
          <w:tcPr>
            <w:tcW w:w="5670" w:type="dxa"/>
          </w:tcPr>
          <w:p w14:paraId="3A597B5C" w14:textId="469663EB" w:rsidR="00F24B5F" w:rsidRPr="00391417" w:rsidRDefault="00391417" w:rsidP="004056C4">
            <w:pPr>
              <w:spacing w:before="120"/>
              <w:rPr>
                <w:rFonts w:cstheme="minorHAnsi"/>
                <w:b/>
              </w:rPr>
            </w:pPr>
            <w:r>
              <w:rPr>
                <w:rFonts w:cstheme="minorHAnsi"/>
                <w:bCs/>
                <w:lang w:val="en-US"/>
              </w:rPr>
              <w:lastRenderedPageBreak/>
              <w:t xml:space="preserve">The </w:t>
            </w:r>
            <w:r w:rsidRPr="00391417">
              <w:rPr>
                <w:rFonts w:cstheme="minorHAnsi"/>
                <w:b/>
              </w:rPr>
              <w:t>Schedule of onshore petroleum exploration and production requirements</w:t>
            </w:r>
            <w:r>
              <w:rPr>
                <w:rFonts w:cstheme="minorHAnsi"/>
                <w:b/>
              </w:rPr>
              <w:t xml:space="preserve"> </w:t>
            </w:r>
            <w:r>
              <w:rPr>
                <w:rFonts w:cstheme="minorHAnsi"/>
                <w:bCs/>
              </w:rPr>
              <w:t>note that a</w:t>
            </w:r>
            <w:r w:rsidR="000755BA" w:rsidRPr="007225CE">
              <w:rPr>
                <w:rFonts w:cstheme="minorHAnsi"/>
                <w:bCs/>
              </w:rPr>
              <w:t xml:space="preserve"> WOMP must include:</w:t>
            </w:r>
          </w:p>
          <w:p w14:paraId="790A9EF7" w14:textId="03397331" w:rsidR="000755BA" w:rsidRPr="00391417" w:rsidRDefault="00737D33" w:rsidP="004056C4">
            <w:pPr>
              <w:spacing w:before="120"/>
              <w:rPr>
                <w:rFonts w:cstheme="minorHAnsi"/>
                <w:b/>
              </w:rPr>
            </w:pPr>
            <w:r w:rsidRPr="00391417">
              <w:rPr>
                <w:rFonts w:cstheme="minorHAnsi"/>
                <w:b/>
              </w:rPr>
              <w:t xml:space="preserve">301c </w:t>
            </w:r>
            <w:r w:rsidR="007225CE" w:rsidRPr="00391417">
              <w:rPr>
                <w:rFonts w:cstheme="minorHAnsi"/>
                <w:b/>
              </w:rPr>
              <w:t>Contents of well operations management plan</w:t>
            </w:r>
          </w:p>
          <w:p w14:paraId="3981A029" w14:textId="65FB583C" w:rsidR="00737D33" w:rsidRPr="00737D33" w:rsidRDefault="00737D33" w:rsidP="00737D33">
            <w:pPr>
              <w:spacing w:before="120"/>
              <w:rPr>
                <w:rFonts w:cstheme="minorHAnsi"/>
                <w:bCs/>
                <w:lang w:val="en-US"/>
              </w:rPr>
            </w:pPr>
            <w:r w:rsidRPr="00737D33">
              <w:rPr>
                <w:rFonts w:cstheme="minorHAnsi"/>
                <w:bCs/>
                <w:lang w:val="en-US"/>
              </w:rPr>
              <w:t xml:space="preserve">(h) A description of the </w:t>
            </w:r>
            <w:r w:rsidRPr="00737D33">
              <w:rPr>
                <w:rFonts w:cstheme="minorHAnsi"/>
                <w:b/>
                <w:lang w:val="en-US"/>
              </w:rPr>
              <w:t>monitoring, audit and well integrity assurance processes</w:t>
            </w:r>
            <w:r w:rsidRPr="00391417">
              <w:rPr>
                <w:rFonts w:cstheme="minorHAnsi"/>
                <w:b/>
                <w:lang w:val="en-US"/>
              </w:rPr>
              <w:t xml:space="preserve"> </w:t>
            </w:r>
            <w:r w:rsidRPr="00737D33">
              <w:rPr>
                <w:rFonts w:cstheme="minorHAnsi"/>
                <w:b/>
                <w:lang w:val="en-US"/>
              </w:rPr>
              <w:t>that will be implemented</w:t>
            </w:r>
            <w:r w:rsidRPr="00737D33">
              <w:rPr>
                <w:rFonts w:cstheme="minorHAnsi"/>
                <w:bCs/>
                <w:lang w:val="en-US"/>
              </w:rPr>
              <w:t xml:space="preserve"> to ensure the performance outcomes and</w:t>
            </w:r>
            <w:r w:rsidRPr="007225CE">
              <w:rPr>
                <w:rFonts w:cstheme="minorHAnsi"/>
                <w:bCs/>
                <w:lang w:val="en-US"/>
              </w:rPr>
              <w:t xml:space="preserve"> </w:t>
            </w:r>
            <w:r w:rsidRPr="00737D33">
              <w:rPr>
                <w:rFonts w:cstheme="minorHAnsi"/>
                <w:bCs/>
                <w:lang w:val="en-US"/>
              </w:rPr>
              <w:t xml:space="preserve">performance standards are being met </w:t>
            </w:r>
            <w:r w:rsidRPr="00737D33">
              <w:rPr>
                <w:rFonts w:cstheme="minorHAnsi"/>
                <w:b/>
                <w:lang w:val="en-US"/>
              </w:rPr>
              <w:t>throughout the life of the well</w:t>
            </w:r>
            <w:r w:rsidRPr="00737D33">
              <w:rPr>
                <w:rFonts w:cstheme="minorHAnsi"/>
                <w:bCs/>
                <w:lang w:val="en-US"/>
              </w:rPr>
              <w:t xml:space="preserve"> including</w:t>
            </w:r>
            <w:r w:rsidRPr="007225CE">
              <w:rPr>
                <w:rFonts w:cstheme="minorHAnsi"/>
                <w:bCs/>
                <w:lang w:val="en-US"/>
              </w:rPr>
              <w:t xml:space="preserve"> </w:t>
            </w:r>
            <w:r w:rsidRPr="00737D33">
              <w:rPr>
                <w:rFonts w:cstheme="minorHAnsi"/>
                <w:bCs/>
                <w:lang w:val="en-US"/>
              </w:rPr>
              <w:t>periods when the well is not operational (dormant) but has not been</w:t>
            </w:r>
            <w:r w:rsidRPr="007225CE">
              <w:rPr>
                <w:rFonts w:cstheme="minorHAnsi"/>
                <w:bCs/>
                <w:lang w:val="en-US"/>
              </w:rPr>
              <w:t xml:space="preserve"> </w:t>
            </w:r>
            <w:r w:rsidRPr="00737D33">
              <w:rPr>
                <w:rFonts w:cstheme="minorHAnsi"/>
                <w:bCs/>
                <w:lang w:val="en-US"/>
              </w:rPr>
              <w:t>permanently plugged and abandoned (decommissioned).</w:t>
            </w:r>
          </w:p>
          <w:p w14:paraId="3CEA148B" w14:textId="77777777" w:rsidR="00737D33" w:rsidRPr="00737D33" w:rsidRDefault="00737D33" w:rsidP="00737D33">
            <w:pPr>
              <w:spacing w:before="120"/>
              <w:rPr>
                <w:rFonts w:cstheme="minorHAnsi"/>
                <w:bCs/>
                <w:lang w:val="en-US"/>
              </w:rPr>
            </w:pPr>
            <w:r w:rsidRPr="00737D33">
              <w:rPr>
                <w:rFonts w:cstheme="minorHAnsi"/>
                <w:bCs/>
                <w:lang w:val="en-US"/>
              </w:rPr>
              <w:lastRenderedPageBreak/>
              <w:t>NOTE:</w:t>
            </w:r>
          </w:p>
          <w:p w14:paraId="532C19C5" w14:textId="0517D07D" w:rsidR="00737D33" w:rsidRPr="00737D33" w:rsidRDefault="00737D33" w:rsidP="00737D33">
            <w:pPr>
              <w:spacing w:before="120"/>
              <w:rPr>
                <w:rFonts w:cstheme="minorHAnsi"/>
                <w:bCs/>
                <w:lang w:val="en-US"/>
              </w:rPr>
            </w:pPr>
            <w:r w:rsidRPr="00737D33">
              <w:rPr>
                <w:rFonts w:cstheme="minorHAnsi"/>
                <w:bCs/>
                <w:lang w:val="en-US"/>
              </w:rPr>
              <w:t>This part is to be written with reference to the Department’s</w:t>
            </w:r>
            <w:r w:rsidR="007225CE" w:rsidRPr="007225CE">
              <w:rPr>
                <w:rFonts w:cstheme="minorHAnsi"/>
                <w:bCs/>
                <w:lang w:val="en-US"/>
              </w:rPr>
              <w:t xml:space="preserve"> </w:t>
            </w:r>
            <w:r w:rsidRPr="00737D33">
              <w:rPr>
                <w:rFonts w:cstheme="minorHAnsi"/>
                <w:bCs/>
                <w:lang w:val="en-US"/>
              </w:rPr>
              <w:t>guideline: “Monitoring, Inspection and Reporting Requirements for</w:t>
            </w:r>
            <w:r w:rsidR="007225CE" w:rsidRPr="007225CE">
              <w:rPr>
                <w:rFonts w:cstheme="minorHAnsi"/>
                <w:bCs/>
                <w:lang w:val="en-US"/>
              </w:rPr>
              <w:t xml:space="preserve"> </w:t>
            </w:r>
            <w:r w:rsidRPr="00737D33">
              <w:rPr>
                <w:rFonts w:cstheme="minorHAnsi"/>
                <w:bCs/>
                <w:lang w:val="en-US"/>
              </w:rPr>
              <w:t>Suspended (Dormant) Wells in the Northern Territory”.</w:t>
            </w:r>
          </w:p>
          <w:p w14:paraId="0FDF1B34" w14:textId="65E278F9" w:rsidR="00737D33" w:rsidRPr="007225CE" w:rsidRDefault="00737D33" w:rsidP="00737D33">
            <w:pPr>
              <w:spacing w:before="120"/>
              <w:rPr>
                <w:rFonts w:cstheme="minorHAnsi"/>
                <w:bCs/>
                <w:lang w:val="en-US"/>
              </w:rPr>
            </w:pPr>
            <w:r w:rsidRPr="00737D33">
              <w:rPr>
                <w:rFonts w:cstheme="minorHAnsi"/>
                <w:bCs/>
                <w:lang w:val="en-US"/>
              </w:rPr>
              <w:t>Results of the monitoring process and outcomes are to be uploaded</w:t>
            </w:r>
            <w:r w:rsidR="007225CE" w:rsidRPr="007225CE">
              <w:rPr>
                <w:rFonts w:cstheme="minorHAnsi"/>
                <w:bCs/>
                <w:lang w:val="en-US"/>
              </w:rPr>
              <w:t xml:space="preserve"> </w:t>
            </w:r>
            <w:r w:rsidRPr="00737D33">
              <w:rPr>
                <w:rFonts w:cstheme="minorHAnsi"/>
                <w:bCs/>
                <w:lang w:val="en-US"/>
              </w:rPr>
              <w:t>on the Government’s website along with any remedial action</w:t>
            </w:r>
            <w:r w:rsidR="007225CE" w:rsidRPr="007225CE">
              <w:rPr>
                <w:rFonts w:cstheme="minorHAnsi"/>
                <w:bCs/>
                <w:lang w:val="en-US"/>
              </w:rPr>
              <w:t xml:space="preserve"> </w:t>
            </w:r>
            <w:r w:rsidRPr="007225CE">
              <w:rPr>
                <w:rFonts w:cstheme="minorHAnsi"/>
                <w:bCs/>
                <w:lang w:val="en-US"/>
              </w:rPr>
              <w:t>undertaken as per Clause 302a.</w:t>
            </w:r>
          </w:p>
        </w:tc>
        <w:tc>
          <w:tcPr>
            <w:tcW w:w="5310" w:type="dxa"/>
            <w:shd w:val="clear" w:color="auto" w:fill="E2EFD9" w:themeFill="accent6" w:themeFillTint="33"/>
          </w:tcPr>
          <w:p w14:paraId="7D234AE4" w14:textId="08BDBEF4" w:rsidR="00F24B5F" w:rsidRPr="00520C23" w:rsidRDefault="00856CC7" w:rsidP="004056C4">
            <w:pPr>
              <w:spacing w:before="120"/>
            </w:pPr>
            <w:r>
              <w:lastRenderedPageBreak/>
              <w:t>This recommendation has been implemented</w:t>
            </w:r>
            <w:r w:rsidR="005D241D">
              <w:t>, assuming “the life of the well” also includes decommissioning, and the monitoring outcomes posted on the Government’s website are accessible to the public</w:t>
            </w:r>
            <w:r>
              <w:t xml:space="preserve">. </w:t>
            </w:r>
          </w:p>
        </w:tc>
      </w:tr>
      <w:tr w:rsidR="00EA3C33" w:rsidRPr="00520C23" w14:paraId="26A87888" w14:textId="77777777" w:rsidTr="00EA3C33">
        <w:tc>
          <w:tcPr>
            <w:tcW w:w="846" w:type="dxa"/>
            <w:shd w:val="clear" w:color="auto" w:fill="auto"/>
          </w:tcPr>
          <w:p w14:paraId="7AFB6F79" w14:textId="77777777" w:rsidR="000B089B" w:rsidRPr="00520C23" w:rsidRDefault="000B089B" w:rsidP="004056C4">
            <w:pPr>
              <w:spacing w:before="120"/>
              <w:jc w:val="center"/>
              <w:rPr>
                <w:rFonts w:cstheme="minorHAnsi"/>
              </w:rPr>
            </w:pPr>
            <w:r w:rsidRPr="00520C23">
              <w:rPr>
                <w:rFonts w:cstheme="minorHAnsi"/>
              </w:rPr>
              <w:t>5.3</w:t>
            </w:r>
          </w:p>
        </w:tc>
        <w:tc>
          <w:tcPr>
            <w:tcW w:w="4819" w:type="dxa"/>
          </w:tcPr>
          <w:p w14:paraId="149225D1" w14:textId="77777777" w:rsidR="000B089B" w:rsidRPr="00520C23" w:rsidRDefault="000B089B" w:rsidP="004056C4">
            <w:pPr>
              <w:spacing w:before="120"/>
              <w:rPr>
                <w:rFonts w:cstheme="minorHAnsi"/>
                <w:i/>
                <w:iCs/>
              </w:rPr>
            </w:pPr>
            <w:r w:rsidRPr="00520C23">
              <w:rPr>
                <w:rFonts w:cstheme="minorHAnsi"/>
                <w:i/>
                <w:iCs/>
              </w:rPr>
              <w:t xml:space="preserve">That prior to the grant of any further exploration approvals, in consultation with industry and other stakeholders, the Government develops an enforceable code of practice setting out the minimum requirements that must be met to ensure the integrity of onshore shale gas wells in the NT. </w:t>
            </w:r>
            <w:r w:rsidRPr="00520C23">
              <w:rPr>
                <w:rFonts w:cstheme="minorHAnsi"/>
                <w:b/>
                <w:bCs/>
                <w:i/>
                <w:iCs/>
              </w:rPr>
              <w:t>This code must require that:</w:t>
            </w:r>
            <w:r w:rsidRPr="00520C23">
              <w:rPr>
                <w:rFonts w:cstheme="minorHAnsi"/>
                <w:i/>
                <w:iCs/>
              </w:rPr>
              <w:t xml:space="preserve"> </w:t>
            </w:r>
          </w:p>
          <w:p w14:paraId="45C178B9" w14:textId="05844277" w:rsidR="000B089B" w:rsidRPr="00520C23" w:rsidRDefault="000B089B" w:rsidP="401FB6AD">
            <w:pPr>
              <w:spacing w:before="120"/>
              <w:rPr>
                <w:i/>
                <w:iCs/>
              </w:rPr>
            </w:pPr>
            <w:r w:rsidRPr="00520C23">
              <w:rPr>
                <w:i/>
                <w:iCs/>
              </w:rPr>
              <w:t>•</w:t>
            </w:r>
            <w:r w:rsidR="00B13284" w:rsidRPr="00520C23">
              <w:rPr>
                <w:i/>
                <w:iCs/>
              </w:rPr>
              <w:t xml:space="preserve"> </w:t>
            </w:r>
            <w:r w:rsidRPr="00520C23">
              <w:rPr>
                <w:i/>
                <w:iCs/>
              </w:rPr>
              <w:t xml:space="preserve">all onshore shale gas wells (including exploration wells constructed for the purposes of production testing) </w:t>
            </w:r>
            <w:r w:rsidRPr="00520C23">
              <w:rPr>
                <w:b/>
                <w:bCs/>
                <w:i/>
                <w:iCs/>
              </w:rPr>
              <w:t>be constructed to at least a Category 9 standard</w:t>
            </w:r>
            <w:r w:rsidRPr="00520C23">
              <w:rPr>
                <w:i/>
                <w:iCs/>
              </w:rPr>
              <w:t xml:space="preserve"> (unless it can be demonstrated by performance modelling/assessment that an alternative design would give at least an equivalent level of protection), with cementing extending up to at least the shallowest problematic hydrocarbon-bearing, organic carbon rich or saline aquifer zone; </w:t>
            </w:r>
          </w:p>
          <w:p w14:paraId="2A413B15" w14:textId="028A8064"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b/>
                <w:bCs/>
                <w:i/>
                <w:iCs/>
              </w:rPr>
              <w:t>all wells be fully tested for integrity</w:t>
            </w:r>
            <w:r w:rsidRPr="00520C23">
              <w:rPr>
                <w:rFonts w:cstheme="minorHAnsi"/>
                <w:i/>
                <w:iCs/>
              </w:rPr>
              <w:t xml:space="preserve"> before and after hydraulic fracturing and that the results be independently certified, with the immediate remediation of identified issues being required; </w:t>
            </w:r>
          </w:p>
          <w:p w14:paraId="2384615C" w14:textId="4DFA3474"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an </w:t>
            </w:r>
            <w:r w:rsidRPr="00520C23">
              <w:rPr>
                <w:rFonts w:cstheme="minorHAnsi"/>
                <w:b/>
                <w:bCs/>
                <w:i/>
                <w:iCs/>
              </w:rPr>
              <w:t>ongoing program of integrity testing</w:t>
            </w:r>
            <w:r w:rsidRPr="00520C23">
              <w:rPr>
                <w:rFonts w:cstheme="minorHAnsi"/>
                <w:i/>
                <w:iCs/>
              </w:rPr>
              <w:t xml:space="preserve"> be established for each well during its operational life. For example, every two years initially for a period of 10 years and then at five-yearly intervals thereafter to ensure that if any issues develop, they are detected early and remediated; and </w:t>
            </w:r>
          </w:p>
          <w:p w14:paraId="2897B9E6" w14:textId="2DD2885C"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the </w:t>
            </w:r>
            <w:r w:rsidRPr="00520C23">
              <w:rPr>
                <w:rFonts w:cstheme="minorHAnsi"/>
                <w:b/>
                <w:bCs/>
                <w:i/>
                <w:iCs/>
              </w:rPr>
              <w:t>results of all well integrity testing programs and any remedial actions undertaken be published</w:t>
            </w:r>
            <w:r w:rsidRPr="00520C23">
              <w:rPr>
                <w:rFonts w:cstheme="minorHAnsi"/>
                <w:i/>
                <w:iCs/>
              </w:rPr>
              <w:t xml:space="preserve"> as soon as they are available. </w:t>
            </w:r>
          </w:p>
        </w:tc>
        <w:tc>
          <w:tcPr>
            <w:tcW w:w="5760" w:type="dxa"/>
          </w:tcPr>
          <w:p w14:paraId="2797BE37" w14:textId="77777777" w:rsidR="000B089B" w:rsidRPr="00520C23" w:rsidRDefault="7C0DE0DE" w:rsidP="002600EC">
            <w:pPr>
              <w:spacing w:before="120"/>
              <w:rPr>
                <w:rFonts w:ascii="Calibri" w:eastAsia="Calibri" w:hAnsi="Calibri" w:cs="Calibri"/>
                <w:color w:val="313131"/>
              </w:rPr>
            </w:pPr>
            <w:r w:rsidRPr="00520C23">
              <w:rPr>
                <w:rFonts w:ascii="Calibri" w:eastAsia="Calibri" w:hAnsi="Calibri" w:cs="Calibri"/>
                <w:color w:val="313131"/>
              </w:rPr>
              <w:t xml:space="preserve">The Northern Territory Government worked with independent scientific experts to develop a Code of Practice relative to the Inquiry's recommendation. The Code is legally enforceable through the Petroleum (Environment) Regulations 2016. The finalised Code was published on 12 June 2019 and can be found </w:t>
            </w:r>
            <w:hyperlink r:id="rId18">
              <w:r w:rsidRPr="00520C23">
                <w:rPr>
                  <w:rStyle w:val="Hyperlink"/>
                  <w:rFonts w:ascii="Calibri" w:eastAsia="Calibri" w:hAnsi="Calibri" w:cs="Calibri"/>
                </w:rPr>
                <w:t>here</w:t>
              </w:r>
            </w:hyperlink>
            <w:r w:rsidRPr="00520C23">
              <w:rPr>
                <w:rFonts w:ascii="Calibri" w:eastAsia="Calibri" w:hAnsi="Calibri" w:cs="Calibri"/>
                <w:color w:val="313131"/>
              </w:rPr>
              <w:t>.</w:t>
            </w:r>
          </w:p>
          <w:p w14:paraId="70BDACD4" w14:textId="059B083D" w:rsidR="00991AA3" w:rsidRPr="00520C23" w:rsidRDefault="00991AA3" w:rsidP="002600EC">
            <w:pPr>
              <w:spacing w:before="120"/>
              <w:rPr>
                <w:rFonts w:ascii="Calibri" w:eastAsia="Calibri" w:hAnsi="Calibri" w:cs="Calibri"/>
                <w:color w:val="313131"/>
              </w:rPr>
            </w:pPr>
          </w:p>
        </w:tc>
        <w:tc>
          <w:tcPr>
            <w:tcW w:w="5670" w:type="dxa"/>
          </w:tcPr>
          <w:p w14:paraId="2DBC66C4" w14:textId="466A2296" w:rsidR="000B089B" w:rsidRPr="00520C23" w:rsidRDefault="000B089B" w:rsidP="002600EC">
            <w:pPr>
              <w:spacing w:before="120"/>
              <w:rPr>
                <w:rFonts w:cstheme="minorHAnsi"/>
                <w:b/>
              </w:rPr>
            </w:pPr>
            <w:r w:rsidRPr="00520C23">
              <w:rPr>
                <w:rFonts w:cstheme="minorHAnsi"/>
                <w:b/>
              </w:rPr>
              <w:t>Code of Practice</w:t>
            </w:r>
          </w:p>
          <w:p w14:paraId="1646D5B2" w14:textId="3680BD18" w:rsidR="000B089B" w:rsidRPr="00520C23" w:rsidRDefault="000B089B" w:rsidP="002600EC">
            <w:pPr>
              <w:spacing w:before="120"/>
              <w:rPr>
                <w:rFonts w:cstheme="minorHAnsi"/>
                <w:i/>
                <w:iCs/>
                <w:u w:val="single"/>
              </w:rPr>
            </w:pPr>
            <w:r w:rsidRPr="00520C23">
              <w:rPr>
                <w:rFonts w:cstheme="minorHAnsi"/>
                <w:i/>
                <w:iCs/>
                <w:u w:val="single"/>
              </w:rPr>
              <w:t>B.3 Well operations management plans</w:t>
            </w:r>
          </w:p>
          <w:p w14:paraId="3338763F" w14:textId="08631A27" w:rsidR="000B089B" w:rsidRPr="00520C23" w:rsidRDefault="000B089B" w:rsidP="002600EC">
            <w:pPr>
              <w:spacing w:before="120"/>
              <w:rPr>
                <w:rFonts w:cstheme="minorHAnsi"/>
                <w:i/>
                <w:iCs/>
              </w:rPr>
            </w:pPr>
            <w:r w:rsidRPr="00520C23">
              <w:rPr>
                <w:rFonts w:cstheme="minorHAnsi"/>
                <w:i/>
                <w:iCs/>
              </w:rPr>
              <w:t>Interest holders shall have a well operations management plan (WOMP) approved for regulated well activities, as required by the Schedule [of Onshore Petroleum Exploration and Production Requirements].</w:t>
            </w:r>
            <w:r w:rsidR="00B13284" w:rsidRPr="00520C23">
              <w:rPr>
                <w:rFonts w:cstheme="minorHAnsi"/>
                <w:i/>
                <w:iCs/>
              </w:rPr>
              <w:t xml:space="preserve"> </w:t>
            </w:r>
            <w:r w:rsidRPr="00520C23">
              <w:rPr>
                <w:rFonts w:cstheme="minorHAnsi"/>
                <w:i/>
                <w:iCs/>
              </w:rPr>
              <w:t>WOMPs must address the mandatory requirements set out in this Code.</w:t>
            </w:r>
          </w:p>
          <w:p w14:paraId="4C5C993B" w14:textId="5590C128" w:rsidR="000B089B" w:rsidRPr="00520C23" w:rsidRDefault="000B089B" w:rsidP="002600EC">
            <w:pPr>
              <w:spacing w:before="120"/>
              <w:rPr>
                <w:rFonts w:cstheme="minorHAnsi"/>
                <w:i/>
                <w:iCs/>
                <w:u w:val="single"/>
              </w:rPr>
            </w:pPr>
            <w:r w:rsidRPr="00520C23">
              <w:rPr>
                <w:rFonts w:cstheme="minorHAnsi"/>
                <w:i/>
                <w:iCs/>
                <w:u w:val="single"/>
              </w:rPr>
              <w:t xml:space="preserve">B.4.1 Well integrity management </w:t>
            </w:r>
          </w:p>
          <w:p w14:paraId="63CA06E0" w14:textId="58769910" w:rsidR="000B089B" w:rsidRPr="00520C23" w:rsidRDefault="000B089B" w:rsidP="002600EC">
            <w:pPr>
              <w:spacing w:before="120"/>
              <w:rPr>
                <w:rFonts w:cstheme="minorHAnsi"/>
                <w:i/>
                <w:iCs/>
                <w:u w:val="single"/>
              </w:rPr>
            </w:pPr>
            <w:r w:rsidRPr="00520C23">
              <w:rPr>
                <w:rFonts w:cstheme="minorHAnsi"/>
                <w:bCs/>
                <w:i/>
                <w:iCs/>
                <w:u w:val="single"/>
              </w:rPr>
              <w:t>B.4.1.2 Mandatory requirements</w:t>
            </w:r>
          </w:p>
          <w:p w14:paraId="149DE4FA" w14:textId="20625079" w:rsidR="000B089B" w:rsidRPr="00520C23" w:rsidRDefault="000B089B" w:rsidP="002600EC">
            <w:pPr>
              <w:spacing w:before="120"/>
              <w:rPr>
                <w:rFonts w:cstheme="minorHAnsi"/>
                <w:i/>
                <w:iCs/>
              </w:rPr>
            </w:pPr>
            <w:r w:rsidRPr="00520C23">
              <w:rPr>
                <w:rFonts w:cstheme="minorHAnsi"/>
                <w:i/>
                <w:iCs/>
              </w:rPr>
              <w:t>(a) The interest holder must be able to demonstrate that they have a system or process for managing well integrity throughout the whole well life cycle that complies with ISO 16530- 1:2017 Well integrity - Part 1: Life cycle governance. This system or process must include a well integrity management system.</w:t>
            </w:r>
          </w:p>
          <w:p w14:paraId="76B604C0" w14:textId="2C904085" w:rsidR="000B089B" w:rsidRPr="00520C23" w:rsidRDefault="000B089B" w:rsidP="002600EC">
            <w:pPr>
              <w:spacing w:before="120"/>
              <w:rPr>
                <w:rFonts w:cstheme="minorHAnsi"/>
                <w:i/>
                <w:iCs/>
              </w:rPr>
            </w:pPr>
            <w:r w:rsidRPr="00520C23">
              <w:rPr>
                <w:rFonts w:cstheme="minorHAnsi"/>
                <w:i/>
                <w:iCs/>
              </w:rPr>
              <w:t>…</w:t>
            </w:r>
          </w:p>
          <w:p w14:paraId="360166CC" w14:textId="77777777" w:rsidR="000B089B" w:rsidRPr="00520C23" w:rsidRDefault="000B089B" w:rsidP="002600EC">
            <w:pPr>
              <w:spacing w:before="120"/>
              <w:rPr>
                <w:rFonts w:cstheme="minorHAnsi"/>
                <w:i/>
                <w:iCs/>
              </w:rPr>
            </w:pPr>
            <w:r w:rsidRPr="00520C23">
              <w:rPr>
                <w:rFonts w:cstheme="minorHAnsi"/>
                <w:i/>
                <w:iCs/>
              </w:rPr>
              <w:t xml:space="preserve">(c) A well integrity testing and validation program must be established for all wells, that includes: </w:t>
            </w:r>
          </w:p>
          <w:p w14:paraId="7129E005" w14:textId="77777777" w:rsidR="000B089B" w:rsidRPr="00520C23" w:rsidRDefault="000B089B" w:rsidP="002600EC">
            <w:pPr>
              <w:spacing w:before="120"/>
              <w:ind w:left="720"/>
              <w:rPr>
                <w:rFonts w:cstheme="minorHAnsi"/>
                <w:i/>
                <w:iCs/>
              </w:rPr>
            </w:pPr>
            <w:r w:rsidRPr="00520C23">
              <w:rPr>
                <w:rFonts w:cstheme="minorHAnsi"/>
                <w:i/>
                <w:iCs/>
              </w:rPr>
              <w:t xml:space="preserve">i. subsurface integrity testing (SIT); </w:t>
            </w:r>
          </w:p>
          <w:p w14:paraId="5E572B5B" w14:textId="77777777" w:rsidR="000B089B" w:rsidRPr="00520C23" w:rsidRDefault="000B089B" w:rsidP="002600EC">
            <w:pPr>
              <w:spacing w:before="120"/>
              <w:ind w:left="720"/>
              <w:rPr>
                <w:rFonts w:cstheme="minorHAnsi"/>
                <w:i/>
                <w:iCs/>
              </w:rPr>
            </w:pPr>
            <w:r w:rsidRPr="00520C23">
              <w:rPr>
                <w:rFonts w:cstheme="minorHAnsi"/>
                <w:i/>
                <w:iCs/>
              </w:rPr>
              <w:t xml:space="preserve">ii. well integrity and well barrier validation requirements in accordance with this Code; </w:t>
            </w:r>
          </w:p>
          <w:p w14:paraId="647D1731" w14:textId="77777777" w:rsidR="000B089B" w:rsidRPr="00520C23" w:rsidRDefault="000B089B" w:rsidP="002600EC">
            <w:pPr>
              <w:spacing w:before="120"/>
              <w:ind w:left="720"/>
              <w:rPr>
                <w:rFonts w:cstheme="minorHAnsi"/>
                <w:i/>
                <w:iCs/>
              </w:rPr>
            </w:pPr>
            <w:r w:rsidRPr="00520C23">
              <w:rPr>
                <w:rFonts w:cstheme="minorHAnsi"/>
                <w:i/>
                <w:iCs/>
              </w:rPr>
              <w:t>iii. a minimum testing frequency for wells in the operational phase of their lifecycle that is commensurate with well’s well integrity risks as per the accepted WOMP; and</w:t>
            </w:r>
          </w:p>
          <w:p w14:paraId="353ED8A9" w14:textId="77777777" w:rsidR="000B089B" w:rsidRPr="00520C23" w:rsidRDefault="000B089B" w:rsidP="002600EC">
            <w:pPr>
              <w:spacing w:before="120"/>
              <w:ind w:left="720"/>
              <w:rPr>
                <w:rFonts w:cstheme="minorHAnsi"/>
                <w:i/>
                <w:iCs/>
              </w:rPr>
            </w:pPr>
            <w:r w:rsidRPr="00520C23">
              <w:rPr>
                <w:rFonts w:cstheme="minorHAnsi"/>
                <w:i/>
                <w:iCs/>
              </w:rPr>
              <w:t xml:space="preserve">iv. triggers for well integrity testing based on: </w:t>
            </w:r>
          </w:p>
          <w:p w14:paraId="5693C82F" w14:textId="7E73A2F0" w:rsidR="000B089B" w:rsidRPr="00520C23" w:rsidRDefault="000B089B" w:rsidP="002600EC">
            <w:pPr>
              <w:spacing w:before="120"/>
              <w:ind w:left="1440"/>
              <w:rPr>
                <w:rFonts w:cstheme="minorHAnsi"/>
                <w:i/>
                <w:iCs/>
              </w:rPr>
            </w:pPr>
            <w:r w:rsidRPr="00520C23">
              <w:rPr>
                <w:rFonts w:cstheme="minorHAnsi"/>
                <w:i/>
                <w:iCs/>
              </w:rPr>
              <w:t xml:space="preserve">a. well integrity monitoring; and </w:t>
            </w:r>
          </w:p>
          <w:p w14:paraId="35080443" w14:textId="52425A6C" w:rsidR="000B089B" w:rsidRPr="00520C23" w:rsidRDefault="000B089B" w:rsidP="002600EC">
            <w:pPr>
              <w:spacing w:before="120"/>
              <w:ind w:left="1440"/>
              <w:rPr>
                <w:rFonts w:cstheme="minorHAnsi"/>
                <w:i/>
                <w:iCs/>
              </w:rPr>
            </w:pPr>
            <w:r w:rsidRPr="00520C23">
              <w:rPr>
                <w:rFonts w:cstheme="minorHAnsi"/>
                <w:i/>
                <w:iCs/>
              </w:rPr>
              <w:t>b. substantive changes to well barriers or well operating envelope.</w:t>
            </w:r>
          </w:p>
          <w:p w14:paraId="4B833F29" w14:textId="77777777" w:rsidR="000B089B" w:rsidRPr="00520C23" w:rsidRDefault="000B089B" w:rsidP="002600EC">
            <w:pPr>
              <w:spacing w:before="120"/>
              <w:contextualSpacing/>
              <w:rPr>
                <w:rFonts w:cstheme="minorHAnsi"/>
                <w:i/>
                <w:iCs/>
              </w:rPr>
            </w:pPr>
          </w:p>
          <w:p w14:paraId="0A779C73" w14:textId="77777777" w:rsidR="000B089B" w:rsidRPr="00520C23" w:rsidRDefault="000B089B" w:rsidP="00450A13">
            <w:pPr>
              <w:spacing w:before="120"/>
              <w:contextualSpacing/>
              <w:rPr>
                <w:rFonts w:cstheme="minorHAnsi"/>
                <w:i/>
                <w:iCs/>
              </w:rPr>
            </w:pPr>
            <w:r w:rsidRPr="00520C23">
              <w:rPr>
                <w:rFonts w:cstheme="minorHAnsi"/>
                <w:i/>
                <w:iCs/>
              </w:rPr>
              <w:lastRenderedPageBreak/>
              <w:t xml:space="preserve">Part B.4.3 of the Code, “Well design and well barriers” also refers to well integrity management: </w:t>
            </w:r>
          </w:p>
          <w:p w14:paraId="222BB7DA" w14:textId="77777777" w:rsidR="000B089B" w:rsidRPr="00520C23" w:rsidRDefault="000B089B" w:rsidP="009437DC">
            <w:pPr>
              <w:pStyle w:val="ListParagraph"/>
              <w:numPr>
                <w:ilvl w:val="0"/>
                <w:numId w:val="20"/>
              </w:numPr>
              <w:spacing w:before="120"/>
              <w:rPr>
                <w:rFonts w:cstheme="minorHAnsi"/>
                <w:i/>
                <w:iCs/>
              </w:rPr>
            </w:pPr>
            <w:r w:rsidRPr="00520C23">
              <w:rPr>
                <w:rFonts w:cstheme="minorHAnsi"/>
                <w:i/>
                <w:iCs/>
              </w:rPr>
              <w:t xml:space="preserve">B.4.3.2(b) mandates that wells maintain two barriers. </w:t>
            </w:r>
          </w:p>
          <w:p w14:paraId="2C297714" w14:textId="158AE98C" w:rsidR="000B089B" w:rsidRPr="00520C23" w:rsidRDefault="000B089B" w:rsidP="009437DC">
            <w:pPr>
              <w:pStyle w:val="ListParagraph"/>
              <w:numPr>
                <w:ilvl w:val="0"/>
                <w:numId w:val="20"/>
              </w:numPr>
              <w:spacing w:before="120"/>
              <w:rPr>
                <w:rFonts w:cstheme="minorHAnsi"/>
                <w:i/>
                <w:iCs/>
              </w:rPr>
            </w:pPr>
            <w:r w:rsidRPr="00520C23">
              <w:rPr>
                <w:rFonts w:cstheme="minorHAnsi"/>
                <w:i/>
                <w:iCs/>
              </w:rPr>
              <w:t>B.4.3.2(c) offers several cases in which an interest holder may be able to justify using fewer than two barriers.</w:t>
            </w:r>
          </w:p>
          <w:p w14:paraId="476B8ED4" w14:textId="4A2CEC97" w:rsidR="000B089B" w:rsidRPr="00520C23" w:rsidRDefault="000B089B" w:rsidP="007E5E9D">
            <w:pPr>
              <w:spacing w:before="120"/>
              <w:rPr>
                <w:rFonts w:cstheme="minorHAnsi"/>
                <w:i/>
                <w:iCs/>
              </w:rPr>
            </w:pPr>
            <w:r w:rsidRPr="00520C23">
              <w:rPr>
                <w:rFonts w:cstheme="minorHAnsi"/>
                <w:b/>
                <w:i/>
                <w:iCs/>
              </w:rPr>
              <w:t>Schedule</w:t>
            </w:r>
          </w:p>
          <w:p w14:paraId="04533E73" w14:textId="77777777" w:rsidR="000B089B" w:rsidRPr="00520C23" w:rsidRDefault="000B089B" w:rsidP="007E5E9D">
            <w:pPr>
              <w:spacing w:before="120"/>
              <w:rPr>
                <w:rFonts w:cstheme="minorHAnsi"/>
                <w:i/>
                <w:iCs/>
                <w:u w:val="single"/>
              </w:rPr>
            </w:pPr>
            <w:r w:rsidRPr="00520C23">
              <w:rPr>
                <w:rFonts w:cstheme="minorHAnsi"/>
                <w:i/>
                <w:iCs/>
                <w:u w:val="single"/>
              </w:rPr>
              <w:t xml:space="preserve">103 Independent validation and verification </w:t>
            </w:r>
          </w:p>
          <w:p w14:paraId="088F76AE" w14:textId="4DCE98CF" w:rsidR="000B089B" w:rsidRPr="00520C23" w:rsidRDefault="000B089B" w:rsidP="007E5E9D">
            <w:pPr>
              <w:spacing w:before="120"/>
              <w:rPr>
                <w:rFonts w:cstheme="minorHAnsi"/>
                <w:i/>
                <w:iCs/>
              </w:rPr>
            </w:pPr>
            <w:r w:rsidRPr="00520C23">
              <w:rPr>
                <w:rFonts w:cstheme="minorHAnsi"/>
                <w:i/>
                <w:iCs/>
              </w:rPr>
              <w:t>The</w:t>
            </w:r>
            <w:r w:rsidR="00B13284" w:rsidRPr="00520C23">
              <w:rPr>
                <w:rFonts w:cstheme="minorHAnsi"/>
                <w:i/>
                <w:iCs/>
              </w:rPr>
              <w:t xml:space="preserve"> </w:t>
            </w:r>
            <w:r w:rsidRPr="00520C23">
              <w:rPr>
                <w:rFonts w:cstheme="minorHAnsi"/>
                <w:i/>
                <w:iCs/>
              </w:rPr>
              <w:t>construction,</w:t>
            </w:r>
            <w:r w:rsidR="00B13284" w:rsidRPr="00520C23">
              <w:rPr>
                <w:rFonts w:cstheme="minorHAnsi"/>
                <w:i/>
                <w:iCs/>
              </w:rPr>
              <w:t xml:space="preserve"> </w:t>
            </w:r>
            <w:r w:rsidRPr="00520C23">
              <w:rPr>
                <w:rFonts w:cstheme="minorHAnsi"/>
                <w:i/>
                <w:iCs/>
              </w:rPr>
              <w:t>alteration</w:t>
            </w:r>
            <w:r w:rsidR="00B13284" w:rsidRPr="00520C23">
              <w:rPr>
                <w:rFonts w:cstheme="minorHAnsi"/>
                <w:i/>
                <w:iCs/>
              </w:rPr>
              <w:t xml:space="preserve"> </w:t>
            </w:r>
            <w:r w:rsidRPr="00520C23">
              <w:rPr>
                <w:rFonts w:cstheme="minorHAnsi"/>
                <w:i/>
                <w:iCs/>
              </w:rPr>
              <w:t>or</w:t>
            </w:r>
            <w:r w:rsidR="00B13284" w:rsidRPr="00520C23">
              <w:rPr>
                <w:rFonts w:cstheme="minorHAnsi"/>
                <w:i/>
                <w:iCs/>
              </w:rPr>
              <w:t xml:space="preserve"> </w:t>
            </w:r>
            <w:r w:rsidRPr="00520C23">
              <w:rPr>
                <w:rFonts w:cstheme="minorHAnsi"/>
                <w:i/>
                <w:iCs/>
              </w:rPr>
              <w:t>reconstruction</w:t>
            </w:r>
            <w:r w:rsidR="00B13284" w:rsidRPr="00520C23">
              <w:rPr>
                <w:rFonts w:cstheme="minorHAnsi"/>
                <w:i/>
                <w:iCs/>
              </w:rPr>
              <w:t xml:space="preserve"> </w:t>
            </w:r>
            <w:r w:rsidRPr="00520C23">
              <w:rPr>
                <w:rFonts w:cstheme="minorHAnsi"/>
                <w:i/>
                <w:iCs/>
              </w:rPr>
              <w:t>of</w:t>
            </w:r>
            <w:r w:rsidR="00B13284" w:rsidRPr="00520C23">
              <w:rPr>
                <w:rFonts w:cstheme="minorHAnsi"/>
                <w:i/>
                <w:iCs/>
              </w:rPr>
              <w:t xml:space="preserve"> </w:t>
            </w:r>
            <w:r w:rsidRPr="00520C23">
              <w:rPr>
                <w:rFonts w:cstheme="minorHAnsi"/>
                <w:i/>
                <w:iCs/>
              </w:rPr>
              <w:t>drilling</w:t>
            </w:r>
            <w:r w:rsidR="00B13284" w:rsidRPr="00520C23">
              <w:rPr>
                <w:rFonts w:cstheme="minorHAnsi"/>
                <w:i/>
                <w:iCs/>
              </w:rPr>
              <w:t xml:space="preserve"> </w:t>
            </w:r>
            <w:r w:rsidRPr="00520C23">
              <w:rPr>
                <w:rFonts w:cstheme="minorHAnsi"/>
                <w:i/>
                <w:iCs/>
              </w:rPr>
              <w:t>and</w:t>
            </w:r>
            <w:r w:rsidR="00B13284" w:rsidRPr="00520C23">
              <w:rPr>
                <w:rFonts w:cstheme="minorHAnsi"/>
                <w:i/>
                <w:iCs/>
              </w:rPr>
              <w:t xml:space="preserve"> </w:t>
            </w:r>
            <w:r w:rsidRPr="00520C23">
              <w:rPr>
                <w:rFonts w:cstheme="minorHAnsi"/>
                <w:i/>
                <w:iCs/>
              </w:rPr>
              <w:t>production</w:t>
            </w:r>
            <w:r w:rsidR="00B13284" w:rsidRPr="00520C23">
              <w:rPr>
                <w:rFonts w:cstheme="minorHAnsi"/>
                <w:i/>
                <w:iCs/>
              </w:rPr>
              <w:t xml:space="preserve"> </w:t>
            </w:r>
            <w:r w:rsidRPr="00520C23">
              <w:rPr>
                <w:rFonts w:cstheme="minorHAnsi"/>
                <w:i/>
                <w:iCs/>
              </w:rPr>
              <w:t>equipment,</w:t>
            </w:r>
            <w:r w:rsidR="00B13284" w:rsidRPr="00520C23">
              <w:rPr>
                <w:rFonts w:cstheme="minorHAnsi"/>
                <w:i/>
                <w:iCs/>
              </w:rPr>
              <w:t xml:space="preserve"> </w:t>
            </w:r>
            <w:r w:rsidRPr="00520C23">
              <w:rPr>
                <w:rFonts w:cstheme="minorHAnsi"/>
                <w:i/>
                <w:iCs/>
              </w:rPr>
              <w:t>wells, safety</w:t>
            </w:r>
            <w:r w:rsidR="00B13284" w:rsidRPr="00520C23">
              <w:rPr>
                <w:rFonts w:cstheme="minorHAnsi"/>
                <w:i/>
                <w:iCs/>
              </w:rPr>
              <w:t xml:space="preserve"> </w:t>
            </w:r>
            <w:r w:rsidRPr="00520C23">
              <w:rPr>
                <w:rFonts w:cstheme="minorHAnsi"/>
                <w:i/>
                <w:iCs/>
              </w:rPr>
              <w:t>systems</w:t>
            </w:r>
            <w:r w:rsidR="00B13284" w:rsidRPr="00520C23">
              <w:rPr>
                <w:rFonts w:cstheme="minorHAnsi"/>
                <w:i/>
                <w:iCs/>
              </w:rPr>
              <w:t xml:space="preserve"> </w:t>
            </w:r>
            <w:r w:rsidRPr="00520C23">
              <w:rPr>
                <w:rFonts w:cstheme="minorHAnsi"/>
                <w:i/>
                <w:iCs/>
              </w:rPr>
              <w:t>and</w:t>
            </w:r>
            <w:r w:rsidR="00B13284" w:rsidRPr="00520C23">
              <w:rPr>
                <w:rFonts w:cstheme="minorHAnsi"/>
                <w:i/>
                <w:iCs/>
              </w:rPr>
              <w:t xml:space="preserve"> </w:t>
            </w:r>
            <w:r w:rsidRPr="00520C23">
              <w:rPr>
                <w:rFonts w:cstheme="minorHAnsi"/>
                <w:i/>
                <w:iCs/>
              </w:rPr>
              <w:t>emergency</w:t>
            </w:r>
            <w:r w:rsidR="00B13284" w:rsidRPr="00520C23">
              <w:rPr>
                <w:rFonts w:cstheme="minorHAnsi"/>
                <w:i/>
                <w:iCs/>
              </w:rPr>
              <w:t xml:space="preserve"> </w:t>
            </w:r>
            <w:r w:rsidRPr="00520C23">
              <w:rPr>
                <w:rFonts w:cstheme="minorHAnsi"/>
                <w:i/>
                <w:iCs/>
              </w:rPr>
              <w:t>facilities</w:t>
            </w:r>
            <w:r w:rsidR="00B13284" w:rsidRPr="00520C23">
              <w:rPr>
                <w:rFonts w:cstheme="minorHAnsi"/>
                <w:i/>
                <w:iCs/>
              </w:rPr>
              <w:t xml:space="preserve"> </w:t>
            </w:r>
            <w:r w:rsidRPr="00520C23">
              <w:rPr>
                <w:rFonts w:cstheme="minorHAnsi"/>
                <w:i/>
                <w:iCs/>
              </w:rPr>
              <w:t>shall</w:t>
            </w:r>
            <w:r w:rsidR="00B13284" w:rsidRPr="00520C23">
              <w:rPr>
                <w:rFonts w:cstheme="minorHAnsi"/>
                <w:i/>
                <w:iCs/>
              </w:rPr>
              <w:t xml:space="preserve"> </w:t>
            </w:r>
            <w:r w:rsidRPr="00520C23">
              <w:rPr>
                <w:rFonts w:cstheme="minorHAnsi"/>
                <w:i/>
                <w:iCs/>
              </w:rPr>
              <w:t>not</w:t>
            </w:r>
            <w:r w:rsidR="00B13284" w:rsidRPr="00520C23">
              <w:rPr>
                <w:rFonts w:cstheme="minorHAnsi"/>
                <w:i/>
                <w:iCs/>
              </w:rPr>
              <w:t xml:space="preserve"> </w:t>
            </w:r>
            <w:r w:rsidRPr="00520C23">
              <w:rPr>
                <w:rFonts w:cstheme="minorHAnsi"/>
                <w:i/>
                <w:iCs/>
              </w:rPr>
              <w:t>be</w:t>
            </w:r>
            <w:r w:rsidR="00B13284" w:rsidRPr="00520C23">
              <w:rPr>
                <w:rFonts w:cstheme="minorHAnsi"/>
                <w:i/>
                <w:iCs/>
              </w:rPr>
              <w:t xml:space="preserve"> </w:t>
            </w:r>
            <w:r w:rsidRPr="00520C23">
              <w:rPr>
                <w:rFonts w:cstheme="minorHAnsi"/>
                <w:i/>
                <w:iCs/>
              </w:rPr>
              <w:t>undertaken</w:t>
            </w:r>
            <w:r w:rsidR="00B13284" w:rsidRPr="00520C23">
              <w:rPr>
                <w:rFonts w:cstheme="minorHAnsi"/>
                <w:i/>
                <w:iCs/>
              </w:rPr>
              <w:t xml:space="preserve"> </w:t>
            </w:r>
            <w:r w:rsidRPr="00520C23">
              <w:rPr>
                <w:rFonts w:cstheme="minorHAnsi"/>
                <w:i/>
                <w:iCs/>
              </w:rPr>
              <w:t>without</w:t>
            </w:r>
            <w:r w:rsidR="00B13284" w:rsidRPr="00520C23">
              <w:rPr>
                <w:rFonts w:cstheme="minorHAnsi"/>
                <w:i/>
                <w:iCs/>
              </w:rPr>
              <w:t xml:space="preserve"> </w:t>
            </w:r>
            <w:r w:rsidRPr="00520C23">
              <w:rPr>
                <w:rFonts w:cstheme="minorHAnsi"/>
                <w:i/>
                <w:iCs/>
              </w:rPr>
              <w:t>approval</w:t>
            </w:r>
            <w:r w:rsidR="00B13284" w:rsidRPr="00520C23">
              <w:rPr>
                <w:rFonts w:cstheme="minorHAnsi"/>
                <w:i/>
                <w:iCs/>
              </w:rPr>
              <w:t xml:space="preserve"> </w:t>
            </w:r>
            <w:r w:rsidRPr="00520C23">
              <w:rPr>
                <w:rFonts w:cstheme="minorHAnsi"/>
                <w:i/>
                <w:iCs/>
              </w:rPr>
              <w:t>and,</w:t>
            </w:r>
            <w:r w:rsidR="00B13284" w:rsidRPr="00520C23">
              <w:rPr>
                <w:rFonts w:cstheme="minorHAnsi"/>
                <w:i/>
                <w:iCs/>
              </w:rPr>
              <w:t xml:space="preserve"> </w:t>
            </w:r>
            <w:r w:rsidRPr="00520C23">
              <w:rPr>
                <w:rFonts w:cstheme="minorHAnsi"/>
                <w:i/>
                <w:iCs/>
              </w:rPr>
              <w:t>where</w:t>
            </w:r>
            <w:r w:rsidR="00B13284" w:rsidRPr="00520C23">
              <w:rPr>
                <w:rFonts w:cstheme="minorHAnsi"/>
                <w:i/>
                <w:iCs/>
              </w:rPr>
              <w:t xml:space="preserve"> </w:t>
            </w:r>
            <w:r w:rsidRPr="00520C23">
              <w:rPr>
                <w:rFonts w:cstheme="minorHAnsi"/>
                <w:i/>
                <w:iCs/>
              </w:rPr>
              <w:t>required</w:t>
            </w:r>
            <w:r w:rsidR="00B13284" w:rsidRPr="00520C23">
              <w:rPr>
                <w:rFonts w:cstheme="minorHAnsi"/>
                <w:i/>
                <w:iCs/>
              </w:rPr>
              <w:t xml:space="preserve"> </w:t>
            </w:r>
            <w:r w:rsidRPr="00520C23">
              <w:rPr>
                <w:rFonts w:cstheme="minorHAnsi"/>
                <w:i/>
                <w:iCs/>
              </w:rPr>
              <w:t>by</w:t>
            </w:r>
            <w:r w:rsidR="00B13284" w:rsidRPr="00520C23">
              <w:rPr>
                <w:rFonts w:cstheme="minorHAnsi"/>
                <w:i/>
                <w:iCs/>
              </w:rPr>
              <w:t xml:space="preserve"> </w:t>
            </w:r>
            <w:r w:rsidRPr="00520C23">
              <w:rPr>
                <w:rFonts w:cstheme="minorHAnsi"/>
                <w:i/>
                <w:iCs/>
              </w:rPr>
              <w:t>the</w:t>
            </w:r>
            <w:r w:rsidR="00B13284" w:rsidRPr="00520C23">
              <w:rPr>
                <w:rFonts w:cstheme="minorHAnsi"/>
                <w:i/>
                <w:iCs/>
              </w:rPr>
              <w:t xml:space="preserve"> </w:t>
            </w:r>
            <w:r w:rsidRPr="00520C23">
              <w:rPr>
                <w:rFonts w:cstheme="minorHAnsi"/>
                <w:i/>
                <w:iCs/>
              </w:rPr>
              <w:t>Minister,</w:t>
            </w:r>
            <w:r w:rsidR="00B13284" w:rsidRPr="00520C23">
              <w:rPr>
                <w:rFonts w:cstheme="minorHAnsi"/>
                <w:i/>
                <w:iCs/>
              </w:rPr>
              <w:t xml:space="preserve"> </w:t>
            </w:r>
            <w:r w:rsidRPr="00520C23">
              <w:rPr>
                <w:rFonts w:cstheme="minorHAnsi"/>
                <w:i/>
                <w:iCs/>
              </w:rPr>
              <w:t>validation</w:t>
            </w:r>
            <w:r w:rsidR="00B13284" w:rsidRPr="00520C23">
              <w:rPr>
                <w:rFonts w:cstheme="minorHAnsi"/>
                <w:i/>
                <w:iCs/>
              </w:rPr>
              <w:t xml:space="preserve"> </w:t>
            </w:r>
            <w:r w:rsidRPr="00520C23">
              <w:rPr>
                <w:rFonts w:cstheme="minorHAnsi"/>
                <w:i/>
                <w:iCs/>
              </w:rPr>
              <w:t>and</w:t>
            </w:r>
            <w:r w:rsidR="00B13284" w:rsidRPr="00520C23">
              <w:rPr>
                <w:rFonts w:cstheme="minorHAnsi"/>
                <w:i/>
                <w:iCs/>
              </w:rPr>
              <w:t xml:space="preserve"> </w:t>
            </w:r>
            <w:r w:rsidRPr="00520C23">
              <w:rPr>
                <w:rFonts w:cstheme="minorHAnsi"/>
                <w:i/>
                <w:iCs/>
              </w:rPr>
              <w:t>or</w:t>
            </w:r>
            <w:r w:rsidR="00B13284" w:rsidRPr="00520C23">
              <w:rPr>
                <w:rFonts w:cstheme="minorHAnsi"/>
                <w:i/>
                <w:iCs/>
              </w:rPr>
              <w:t xml:space="preserve"> </w:t>
            </w:r>
            <w:r w:rsidRPr="00520C23">
              <w:rPr>
                <w:rFonts w:cstheme="minorHAnsi"/>
                <w:i/>
                <w:iCs/>
              </w:rPr>
              <w:t>verification</w:t>
            </w:r>
            <w:r w:rsidR="00B13284" w:rsidRPr="00520C23">
              <w:rPr>
                <w:rFonts w:cstheme="minorHAnsi"/>
                <w:i/>
                <w:iCs/>
              </w:rPr>
              <w:t xml:space="preserve"> </w:t>
            </w:r>
            <w:r w:rsidRPr="00520C23">
              <w:rPr>
                <w:rFonts w:cstheme="minorHAnsi"/>
                <w:i/>
                <w:iCs/>
              </w:rPr>
              <w:t>by</w:t>
            </w:r>
            <w:r w:rsidR="00B13284" w:rsidRPr="00520C23">
              <w:rPr>
                <w:rFonts w:cstheme="minorHAnsi"/>
                <w:i/>
                <w:iCs/>
              </w:rPr>
              <w:t xml:space="preserve"> </w:t>
            </w:r>
            <w:r w:rsidRPr="00520C23">
              <w:rPr>
                <w:rFonts w:cstheme="minorHAnsi"/>
                <w:i/>
                <w:iCs/>
              </w:rPr>
              <w:t>an</w:t>
            </w:r>
            <w:r w:rsidR="00B13284" w:rsidRPr="00520C23">
              <w:rPr>
                <w:rFonts w:cstheme="minorHAnsi"/>
                <w:i/>
                <w:iCs/>
              </w:rPr>
              <w:t xml:space="preserve"> </w:t>
            </w:r>
            <w:r w:rsidRPr="00520C23">
              <w:rPr>
                <w:rFonts w:cstheme="minorHAnsi"/>
                <w:i/>
                <w:iCs/>
              </w:rPr>
              <w:t>independent validator.</w:t>
            </w:r>
          </w:p>
          <w:p w14:paraId="02C8ADD5" w14:textId="77777777" w:rsidR="000B089B" w:rsidRPr="00520C23" w:rsidRDefault="000B089B" w:rsidP="007E5E9D">
            <w:pPr>
              <w:spacing w:before="120"/>
              <w:rPr>
                <w:rFonts w:cstheme="minorHAnsi"/>
                <w:i/>
                <w:iCs/>
                <w:u w:val="single"/>
              </w:rPr>
            </w:pPr>
            <w:r w:rsidRPr="00520C23">
              <w:rPr>
                <w:rFonts w:cstheme="minorHAnsi"/>
                <w:i/>
                <w:iCs/>
                <w:u w:val="single"/>
              </w:rPr>
              <w:t>109 Inspectors</w:t>
            </w:r>
          </w:p>
          <w:p w14:paraId="67C175D4" w14:textId="77777777" w:rsidR="000B089B" w:rsidRPr="00520C23" w:rsidRDefault="000B089B" w:rsidP="009437DC">
            <w:pPr>
              <w:numPr>
                <w:ilvl w:val="0"/>
                <w:numId w:val="26"/>
              </w:numPr>
              <w:spacing w:before="120"/>
              <w:rPr>
                <w:rFonts w:cstheme="minorHAnsi"/>
                <w:i/>
                <w:iCs/>
              </w:rPr>
            </w:pPr>
            <w:r w:rsidRPr="00520C23">
              <w:rPr>
                <w:rFonts w:cstheme="minorHAnsi"/>
                <w:i/>
                <w:iCs/>
              </w:rPr>
              <w:t>Where an Inspector considers:</w:t>
            </w:r>
          </w:p>
          <w:p w14:paraId="03D241BB" w14:textId="77777777" w:rsidR="000B089B" w:rsidRPr="00520C23" w:rsidRDefault="000B089B" w:rsidP="009437DC">
            <w:pPr>
              <w:numPr>
                <w:ilvl w:val="0"/>
                <w:numId w:val="27"/>
              </w:numPr>
              <w:spacing w:before="120"/>
              <w:rPr>
                <w:rFonts w:cstheme="minorHAnsi"/>
                <w:i/>
                <w:iCs/>
              </w:rPr>
            </w:pPr>
            <w:r w:rsidRPr="00520C23">
              <w:rPr>
                <w:rFonts w:cstheme="minorHAnsi"/>
                <w:i/>
                <w:iCs/>
              </w:rPr>
              <w:t>that the integrity of any operating system, well, pipeline or facility has been, or is in danger of being, compromised; or</w:t>
            </w:r>
          </w:p>
          <w:p w14:paraId="343042C7" w14:textId="77777777" w:rsidR="000B089B" w:rsidRPr="00520C23" w:rsidRDefault="000B089B" w:rsidP="009437DC">
            <w:pPr>
              <w:numPr>
                <w:ilvl w:val="0"/>
                <w:numId w:val="27"/>
              </w:numPr>
              <w:spacing w:before="120"/>
              <w:rPr>
                <w:rFonts w:cstheme="minorHAnsi"/>
                <w:i/>
                <w:iCs/>
              </w:rPr>
            </w:pPr>
            <w:r w:rsidRPr="00520C23">
              <w:rPr>
                <w:rFonts w:cstheme="minorHAnsi"/>
                <w:i/>
                <w:iCs/>
              </w:rPr>
              <w:t>that work being carried out:</w:t>
            </w:r>
          </w:p>
          <w:p w14:paraId="3A7EADB3" w14:textId="35F66645" w:rsidR="000B089B" w:rsidRPr="00520C23" w:rsidRDefault="000B089B" w:rsidP="009437DC">
            <w:pPr>
              <w:numPr>
                <w:ilvl w:val="0"/>
                <w:numId w:val="28"/>
              </w:numPr>
              <w:spacing w:before="120"/>
              <w:rPr>
                <w:rFonts w:cstheme="minorHAnsi"/>
                <w:i/>
                <w:iCs/>
              </w:rPr>
            </w:pPr>
            <w:r w:rsidRPr="00520C23">
              <w:rPr>
                <w:rFonts w:cstheme="minorHAnsi"/>
                <w:i/>
                <w:iCs/>
              </w:rPr>
              <w:t>is</w:t>
            </w:r>
            <w:r w:rsidR="00B13284" w:rsidRPr="00520C23">
              <w:rPr>
                <w:rFonts w:cstheme="minorHAnsi"/>
                <w:i/>
                <w:iCs/>
              </w:rPr>
              <w:t xml:space="preserve"> </w:t>
            </w:r>
            <w:r w:rsidRPr="00520C23">
              <w:rPr>
                <w:rFonts w:cstheme="minorHAnsi"/>
                <w:i/>
                <w:iCs/>
              </w:rPr>
              <w:t>contravening</w:t>
            </w:r>
            <w:r w:rsidR="00B13284" w:rsidRPr="00520C23">
              <w:rPr>
                <w:rFonts w:cstheme="minorHAnsi"/>
                <w:i/>
                <w:iCs/>
              </w:rPr>
              <w:t xml:space="preserve"> </w:t>
            </w:r>
            <w:r w:rsidRPr="00520C23">
              <w:rPr>
                <w:rFonts w:cstheme="minorHAnsi"/>
                <w:i/>
                <w:iCs/>
              </w:rPr>
              <w:t>a</w:t>
            </w:r>
            <w:r w:rsidR="00B13284" w:rsidRPr="00520C23">
              <w:rPr>
                <w:rFonts w:cstheme="minorHAnsi"/>
                <w:i/>
                <w:iCs/>
              </w:rPr>
              <w:t xml:space="preserve"> </w:t>
            </w:r>
            <w:r w:rsidRPr="00520C23">
              <w:rPr>
                <w:rFonts w:cstheme="minorHAnsi"/>
                <w:i/>
                <w:iCs/>
              </w:rPr>
              <w:t>provision</w:t>
            </w:r>
            <w:r w:rsidR="00B13284" w:rsidRPr="00520C23">
              <w:rPr>
                <w:rFonts w:cstheme="minorHAnsi"/>
                <w:i/>
                <w:iCs/>
              </w:rPr>
              <w:t xml:space="preserve"> </w:t>
            </w:r>
            <w:r w:rsidRPr="00520C23">
              <w:rPr>
                <w:rFonts w:cstheme="minorHAnsi"/>
                <w:i/>
                <w:iCs/>
              </w:rPr>
              <w:t>of the</w:t>
            </w:r>
            <w:r w:rsidR="00B13284" w:rsidRPr="00520C23">
              <w:rPr>
                <w:rFonts w:cstheme="minorHAnsi"/>
                <w:i/>
                <w:iCs/>
              </w:rPr>
              <w:t xml:space="preserve"> </w:t>
            </w:r>
            <w:r w:rsidRPr="00520C23">
              <w:rPr>
                <w:rFonts w:cstheme="minorHAnsi"/>
                <w:i/>
                <w:iCs/>
              </w:rPr>
              <w:t>Act,</w:t>
            </w:r>
            <w:r w:rsidR="00B13284" w:rsidRPr="00520C23">
              <w:rPr>
                <w:rFonts w:cstheme="minorHAnsi"/>
                <w:i/>
                <w:iCs/>
              </w:rPr>
              <w:t xml:space="preserve"> </w:t>
            </w:r>
            <w:r w:rsidRPr="00520C23">
              <w:rPr>
                <w:rFonts w:cstheme="minorHAnsi"/>
                <w:i/>
                <w:iCs/>
              </w:rPr>
              <w:t>these</w:t>
            </w:r>
            <w:r w:rsidR="00B13284" w:rsidRPr="00520C23">
              <w:rPr>
                <w:rFonts w:cstheme="minorHAnsi"/>
                <w:i/>
                <w:iCs/>
              </w:rPr>
              <w:t xml:space="preserve"> </w:t>
            </w:r>
            <w:r w:rsidRPr="00520C23">
              <w:rPr>
                <w:rFonts w:cstheme="minorHAnsi"/>
                <w:i/>
                <w:iCs/>
              </w:rPr>
              <w:t>requirements,</w:t>
            </w:r>
            <w:r w:rsidR="00B13284" w:rsidRPr="00520C23">
              <w:rPr>
                <w:rFonts w:cstheme="minorHAnsi"/>
                <w:i/>
                <w:iCs/>
              </w:rPr>
              <w:t xml:space="preserve"> </w:t>
            </w:r>
            <w:r w:rsidRPr="00520C23">
              <w:rPr>
                <w:rFonts w:cstheme="minorHAnsi"/>
                <w:i/>
                <w:iCs/>
              </w:rPr>
              <w:t>or</w:t>
            </w:r>
            <w:r w:rsidR="00B13284" w:rsidRPr="00520C23">
              <w:rPr>
                <w:rFonts w:cstheme="minorHAnsi"/>
                <w:i/>
                <w:iCs/>
              </w:rPr>
              <w:t xml:space="preserve"> </w:t>
            </w:r>
            <w:r w:rsidRPr="00520C23">
              <w:rPr>
                <w:rFonts w:cstheme="minorHAnsi"/>
                <w:i/>
                <w:iCs/>
              </w:rPr>
              <w:t>any additional conditions imposed by the Minister; or</w:t>
            </w:r>
          </w:p>
          <w:p w14:paraId="28DA8AF7" w14:textId="1EB070CF" w:rsidR="000B089B" w:rsidRPr="00520C23" w:rsidRDefault="000B089B" w:rsidP="009437DC">
            <w:pPr>
              <w:numPr>
                <w:ilvl w:val="0"/>
                <w:numId w:val="28"/>
              </w:numPr>
              <w:spacing w:before="120"/>
              <w:rPr>
                <w:rFonts w:cstheme="minorHAnsi"/>
                <w:i/>
                <w:iCs/>
              </w:rPr>
            </w:pPr>
            <w:r w:rsidRPr="00520C23">
              <w:rPr>
                <w:rFonts w:cstheme="minorHAnsi"/>
                <w:i/>
                <w:iCs/>
              </w:rPr>
              <w:t>is</w:t>
            </w:r>
            <w:r w:rsidR="00B13284" w:rsidRPr="00520C23">
              <w:rPr>
                <w:rFonts w:cstheme="minorHAnsi"/>
                <w:i/>
                <w:iCs/>
              </w:rPr>
              <w:t xml:space="preserve"> </w:t>
            </w:r>
            <w:r w:rsidRPr="00520C23">
              <w:rPr>
                <w:rFonts w:cstheme="minorHAnsi"/>
                <w:i/>
                <w:iCs/>
              </w:rPr>
              <w:t>compromising,</w:t>
            </w:r>
            <w:r w:rsidR="00B13284" w:rsidRPr="00520C23">
              <w:rPr>
                <w:rFonts w:cstheme="minorHAnsi"/>
                <w:i/>
                <w:iCs/>
              </w:rPr>
              <w:t xml:space="preserve"> </w:t>
            </w:r>
            <w:r w:rsidRPr="00520C23">
              <w:rPr>
                <w:rFonts w:cstheme="minorHAnsi"/>
                <w:i/>
                <w:iCs/>
              </w:rPr>
              <w:t>or</w:t>
            </w:r>
            <w:r w:rsidR="00B13284" w:rsidRPr="00520C23">
              <w:rPr>
                <w:rFonts w:cstheme="minorHAnsi"/>
                <w:i/>
                <w:iCs/>
              </w:rPr>
              <w:t xml:space="preserve"> </w:t>
            </w:r>
            <w:r w:rsidRPr="00520C23">
              <w:rPr>
                <w:rFonts w:cstheme="minorHAnsi"/>
                <w:i/>
                <w:iCs/>
              </w:rPr>
              <w:t>may</w:t>
            </w:r>
            <w:r w:rsidR="00B13284" w:rsidRPr="00520C23">
              <w:rPr>
                <w:rFonts w:cstheme="minorHAnsi"/>
                <w:i/>
                <w:iCs/>
              </w:rPr>
              <w:t xml:space="preserve"> </w:t>
            </w:r>
            <w:r w:rsidRPr="00520C23">
              <w:rPr>
                <w:rFonts w:cstheme="minorHAnsi"/>
                <w:i/>
                <w:iCs/>
              </w:rPr>
              <w:t>compromise,</w:t>
            </w:r>
            <w:r w:rsidR="00B13284" w:rsidRPr="00520C23">
              <w:rPr>
                <w:rFonts w:cstheme="minorHAnsi"/>
                <w:i/>
                <w:iCs/>
              </w:rPr>
              <w:t xml:space="preserve"> </w:t>
            </w:r>
            <w:r w:rsidRPr="00520C23">
              <w:rPr>
                <w:rFonts w:cstheme="minorHAnsi"/>
                <w:i/>
                <w:iCs/>
              </w:rPr>
              <w:t>the</w:t>
            </w:r>
            <w:r w:rsidR="00B13284" w:rsidRPr="00520C23">
              <w:rPr>
                <w:rFonts w:cstheme="minorHAnsi"/>
                <w:i/>
                <w:iCs/>
              </w:rPr>
              <w:t xml:space="preserve"> </w:t>
            </w:r>
            <w:r w:rsidRPr="00520C23">
              <w:rPr>
                <w:rFonts w:cstheme="minorHAnsi"/>
                <w:i/>
                <w:iCs/>
              </w:rPr>
              <w:t>integrity</w:t>
            </w:r>
            <w:r w:rsidR="00B13284" w:rsidRPr="00520C23">
              <w:rPr>
                <w:rFonts w:cstheme="minorHAnsi"/>
                <w:i/>
                <w:iCs/>
              </w:rPr>
              <w:t xml:space="preserve"> </w:t>
            </w:r>
            <w:r w:rsidRPr="00520C23">
              <w:rPr>
                <w:rFonts w:cstheme="minorHAnsi"/>
                <w:i/>
                <w:iCs/>
              </w:rPr>
              <w:t>of</w:t>
            </w:r>
            <w:r w:rsidR="00B13284" w:rsidRPr="00520C23">
              <w:rPr>
                <w:rFonts w:cstheme="minorHAnsi"/>
                <w:i/>
                <w:iCs/>
              </w:rPr>
              <w:t xml:space="preserve"> </w:t>
            </w:r>
            <w:r w:rsidRPr="00520C23">
              <w:rPr>
                <w:rFonts w:cstheme="minorHAnsi"/>
                <w:i/>
                <w:iCs/>
              </w:rPr>
              <w:t>an</w:t>
            </w:r>
            <w:r w:rsidR="00B13284" w:rsidRPr="00520C23">
              <w:rPr>
                <w:rFonts w:cstheme="minorHAnsi"/>
                <w:i/>
                <w:iCs/>
              </w:rPr>
              <w:t xml:space="preserve"> </w:t>
            </w:r>
            <w:r w:rsidRPr="00520C23">
              <w:rPr>
                <w:rFonts w:cstheme="minorHAnsi"/>
                <w:i/>
                <w:iCs/>
              </w:rPr>
              <w:t>operating system; or</w:t>
            </w:r>
          </w:p>
          <w:p w14:paraId="6311DE86" w14:textId="1E0A8EDE" w:rsidR="000B089B" w:rsidRPr="00520C23" w:rsidRDefault="000B089B" w:rsidP="009437DC">
            <w:pPr>
              <w:numPr>
                <w:ilvl w:val="0"/>
                <w:numId w:val="28"/>
              </w:numPr>
              <w:spacing w:before="120"/>
              <w:rPr>
                <w:rFonts w:cstheme="minorHAnsi"/>
                <w:i/>
                <w:iCs/>
              </w:rPr>
            </w:pPr>
            <w:r w:rsidRPr="00520C23">
              <w:rPr>
                <w:rFonts w:cstheme="minorHAnsi"/>
                <w:i/>
                <w:iCs/>
              </w:rPr>
              <w:t>is not in accordance with good oilfield practice, the</w:t>
            </w:r>
            <w:r w:rsidR="00B13284" w:rsidRPr="00520C23">
              <w:rPr>
                <w:rFonts w:cstheme="minorHAnsi"/>
                <w:i/>
                <w:iCs/>
              </w:rPr>
              <w:t xml:space="preserve"> </w:t>
            </w:r>
            <w:r w:rsidRPr="00520C23">
              <w:rPr>
                <w:rFonts w:cstheme="minorHAnsi"/>
                <w:i/>
                <w:iCs/>
              </w:rPr>
              <w:t>Inspector</w:t>
            </w:r>
            <w:r w:rsidR="00B13284" w:rsidRPr="00520C23">
              <w:rPr>
                <w:rFonts w:cstheme="minorHAnsi"/>
                <w:i/>
                <w:iCs/>
              </w:rPr>
              <w:t xml:space="preserve"> </w:t>
            </w:r>
            <w:r w:rsidRPr="00520C23">
              <w:rPr>
                <w:rFonts w:cstheme="minorHAnsi"/>
                <w:i/>
                <w:iCs/>
              </w:rPr>
              <w:t>may,</w:t>
            </w:r>
            <w:r w:rsidR="00B13284" w:rsidRPr="00520C23">
              <w:rPr>
                <w:rFonts w:cstheme="minorHAnsi"/>
                <w:i/>
                <w:iCs/>
              </w:rPr>
              <w:t xml:space="preserve"> </w:t>
            </w:r>
            <w:r w:rsidRPr="00520C23">
              <w:rPr>
                <w:rFonts w:cstheme="minorHAnsi"/>
                <w:i/>
                <w:iCs/>
              </w:rPr>
              <w:t>by</w:t>
            </w:r>
            <w:r w:rsidR="00B13284" w:rsidRPr="00520C23">
              <w:rPr>
                <w:rFonts w:cstheme="minorHAnsi"/>
                <w:i/>
                <w:iCs/>
              </w:rPr>
              <w:t xml:space="preserve"> </w:t>
            </w:r>
            <w:r w:rsidRPr="00520C23">
              <w:rPr>
                <w:rFonts w:cstheme="minorHAnsi"/>
                <w:i/>
                <w:iCs/>
              </w:rPr>
              <w:t>a</w:t>
            </w:r>
            <w:r w:rsidR="00B13284" w:rsidRPr="00520C23">
              <w:rPr>
                <w:rFonts w:cstheme="minorHAnsi"/>
                <w:i/>
                <w:iCs/>
              </w:rPr>
              <w:t xml:space="preserve"> </w:t>
            </w:r>
            <w:r w:rsidRPr="00520C23">
              <w:rPr>
                <w:rFonts w:cstheme="minorHAnsi"/>
                <w:i/>
                <w:iCs/>
              </w:rPr>
              <w:t>notice</w:t>
            </w:r>
            <w:r w:rsidR="00B13284" w:rsidRPr="00520C23">
              <w:rPr>
                <w:rFonts w:cstheme="minorHAnsi"/>
                <w:i/>
                <w:iCs/>
              </w:rPr>
              <w:t xml:space="preserve"> </w:t>
            </w:r>
            <w:r w:rsidRPr="00520C23">
              <w:rPr>
                <w:rFonts w:cstheme="minorHAnsi"/>
                <w:i/>
                <w:iCs/>
              </w:rPr>
              <w:t>in</w:t>
            </w:r>
            <w:r w:rsidR="00B13284" w:rsidRPr="00520C23">
              <w:rPr>
                <w:rFonts w:cstheme="minorHAnsi"/>
                <w:i/>
                <w:iCs/>
              </w:rPr>
              <w:t xml:space="preserve"> </w:t>
            </w:r>
            <w:r w:rsidRPr="00520C23">
              <w:rPr>
                <w:rFonts w:cstheme="minorHAnsi"/>
                <w:i/>
                <w:iCs/>
              </w:rPr>
              <w:t>writing,</w:t>
            </w:r>
            <w:r w:rsidR="00B13284" w:rsidRPr="00520C23">
              <w:rPr>
                <w:rFonts w:cstheme="minorHAnsi"/>
                <w:i/>
                <w:iCs/>
              </w:rPr>
              <w:t xml:space="preserve"> </w:t>
            </w:r>
            <w:r w:rsidRPr="00520C23">
              <w:rPr>
                <w:rFonts w:cstheme="minorHAnsi"/>
                <w:i/>
                <w:iCs/>
              </w:rPr>
              <w:t>refer</w:t>
            </w:r>
            <w:r w:rsidR="00B13284" w:rsidRPr="00520C23">
              <w:rPr>
                <w:rFonts w:cstheme="minorHAnsi"/>
                <w:i/>
                <w:iCs/>
              </w:rPr>
              <w:t xml:space="preserve"> </w:t>
            </w:r>
            <w:r w:rsidRPr="00520C23">
              <w:rPr>
                <w:rFonts w:cstheme="minorHAnsi"/>
                <w:i/>
                <w:iCs/>
              </w:rPr>
              <w:t>the</w:t>
            </w:r>
            <w:r w:rsidR="00B13284" w:rsidRPr="00520C23">
              <w:rPr>
                <w:rFonts w:cstheme="minorHAnsi"/>
                <w:i/>
                <w:iCs/>
              </w:rPr>
              <w:t xml:space="preserve"> </w:t>
            </w:r>
            <w:r w:rsidRPr="00520C23">
              <w:rPr>
                <w:rFonts w:cstheme="minorHAnsi"/>
                <w:i/>
                <w:iCs/>
              </w:rPr>
              <w:t>matter</w:t>
            </w:r>
            <w:r w:rsidR="00B13284" w:rsidRPr="00520C23">
              <w:rPr>
                <w:rFonts w:cstheme="minorHAnsi"/>
                <w:i/>
                <w:iCs/>
              </w:rPr>
              <w:t xml:space="preserve"> </w:t>
            </w:r>
            <w:r w:rsidRPr="00520C23">
              <w:rPr>
                <w:rFonts w:cstheme="minorHAnsi"/>
                <w:i/>
                <w:iCs/>
              </w:rPr>
              <w:t>to</w:t>
            </w:r>
            <w:r w:rsidR="00B13284" w:rsidRPr="00520C23">
              <w:rPr>
                <w:rFonts w:cstheme="minorHAnsi"/>
                <w:i/>
                <w:iCs/>
              </w:rPr>
              <w:t xml:space="preserve"> </w:t>
            </w:r>
            <w:r w:rsidRPr="00520C23">
              <w:rPr>
                <w:rFonts w:cstheme="minorHAnsi"/>
                <w:i/>
                <w:iCs/>
              </w:rPr>
              <w:t>the</w:t>
            </w:r>
            <w:r w:rsidR="00B13284" w:rsidRPr="00520C23">
              <w:rPr>
                <w:rFonts w:cstheme="minorHAnsi"/>
                <w:i/>
                <w:iCs/>
              </w:rPr>
              <w:t xml:space="preserve"> </w:t>
            </w:r>
            <w:r w:rsidRPr="00520C23">
              <w:rPr>
                <w:rFonts w:cstheme="minorHAnsi"/>
                <w:i/>
                <w:iCs/>
              </w:rPr>
              <w:t>relevant</w:t>
            </w:r>
            <w:r w:rsidR="00B13284" w:rsidRPr="00520C23">
              <w:rPr>
                <w:rFonts w:cstheme="minorHAnsi"/>
                <w:i/>
                <w:iCs/>
              </w:rPr>
              <w:t xml:space="preserve"> </w:t>
            </w:r>
            <w:r w:rsidRPr="00520C23">
              <w:rPr>
                <w:rFonts w:cstheme="minorHAnsi"/>
                <w:i/>
                <w:iCs/>
              </w:rPr>
              <w:t>Operator.</w:t>
            </w:r>
          </w:p>
          <w:p w14:paraId="3F92AEBE" w14:textId="2DC7A69F" w:rsidR="000B089B" w:rsidRPr="00520C23" w:rsidRDefault="000B089B" w:rsidP="009437DC">
            <w:pPr>
              <w:numPr>
                <w:ilvl w:val="0"/>
                <w:numId w:val="26"/>
              </w:numPr>
              <w:spacing w:before="120"/>
              <w:rPr>
                <w:rFonts w:cstheme="minorHAnsi"/>
                <w:i/>
                <w:iCs/>
              </w:rPr>
            </w:pPr>
            <w:r w:rsidRPr="00520C23">
              <w:rPr>
                <w:rFonts w:cstheme="minorHAnsi"/>
                <w:i/>
                <w:iCs/>
              </w:rPr>
              <w:t>The</w:t>
            </w:r>
            <w:r w:rsidR="00B13284" w:rsidRPr="00520C23">
              <w:rPr>
                <w:rFonts w:cstheme="minorHAnsi"/>
                <w:i/>
                <w:iCs/>
              </w:rPr>
              <w:t xml:space="preserve"> </w:t>
            </w:r>
            <w:r w:rsidRPr="00520C23">
              <w:rPr>
                <w:rFonts w:cstheme="minorHAnsi"/>
                <w:i/>
                <w:iCs/>
              </w:rPr>
              <w:t>notice</w:t>
            </w:r>
            <w:r w:rsidR="00B13284" w:rsidRPr="00520C23">
              <w:rPr>
                <w:rFonts w:cstheme="minorHAnsi"/>
                <w:i/>
                <w:iCs/>
              </w:rPr>
              <w:t xml:space="preserve"> </w:t>
            </w:r>
            <w:r w:rsidRPr="00520C23">
              <w:rPr>
                <w:rFonts w:cstheme="minorHAnsi"/>
                <w:i/>
                <w:iCs/>
              </w:rPr>
              <w:t>shall</w:t>
            </w:r>
            <w:r w:rsidR="00B13284" w:rsidRPr="00520C23">
              <w:rPr>
                <w:rFonts w:cstheme="minorHAnsi"/>
                <w:i/>
                <w:iCs/>
              </w:rPr>
              <w:t xml:space="preserve"> </w:t>
            </w:r>
            <w:r w:rsidRPr="00520C23">
              <w:rPr>
                <w:rFonts w:cstheme="minorHAnsi"/>
                <w:i/>
                <w:iCs/>
              </w:rPr>
              <w:t>specify</w:t>
            </w:r>
            <w:r w:rsidR="00B13284" w:rsidRPr="00520C23">
              <w:rPr>
                <w:rFonts w:cstheme="minorHAnsi"/>
                <w:i/>
                <w:iCs/>
              </w:rPr>
              <w:t xml:space="preserve"> </w:t>
            </w:r>
            <w:r w:rsidRPr="00520C23">
              <w:rPr>
                <w:rFonts w:cstheme="minorHAnsi"/>
                <w:i/>
                <w:iCs/>
              </w:rPr>
              <w:t>a</w:t>
            </w:r>
            <w:r w:rsidR="00B13284" w:rsidRPr="00520C23">
              <w:rPr>
                <w:rFonts w:cstheme="minorHAnsi"/>
                <w:i/>
                <w:iCs/>
              </w:rPr>
              <w:t xml:space="preserve"> </w:t>
            </w:r>
            <w:r w:rsidRPr="00520C23">
              <w:rPr>
                <w:rFonts w:cstheme="minorHAnsi"/>
                <w:i/>
                <w:iCs/>
              </w:rPr>
              <w:t>day</w:t>
            </w:r>
            <w:r w:rsidR="00B13284" w:rsidRPr="00520C23">
              <w:rPr>
                <w:rFonts w:cstheme="minorHAnsi"/>
                <w:i/>
                <w:iCs/>
              </w:rPr>
              <w:t xml:space="preserve"> </w:t>
            </w:r>
            <w:r w:rsidRPr="00520C23">
              <w:rPr>
                <w:rFonts w:cstheme="minorHAnsi"/>
                <w:i/>
                <w:iCs/>
              </w:rPr>
              <w:t>by</w:t>
            </w:r>
            <w:r w:rsidR="00B13284" w:rsidRPr="00520C23">
              <w:rPr>
                <w:rFonts w:cstheme="minorHAnsi"/>
                <w:i/>
                <w:iCs/>
              </w:rPr>
              <w:t xml:space="preserve"> </w:t>
            </w:r>
            <w:r w:rsidRPr="00520C23">
              <w:rPr>
                <w:rFonts w:cstheme="minorHAnsi"/>
                <w:i/>
                <w:iCs/>
              </w:rPr>
              <w:t>which</w:t>
            </w:r>
            <w:r w:rsidR="00B13284" w:rsidRPr="00520C23">
              <w:rPr>
                <w:rFonts w:cstheme="minorHAnsi"/>
                <w:i/>
                <w:iCs/>
              </w:rPr>
              <w:t xml:space="preserve"> </w:t>
            </w:r>
            <w:r w:rsidRPr="00520C23">
              <w:rPr>
                <w:rFonts w:cstheme="minorHAnsi"/>
                <w:i/>
                <w:iCs/>
              </w:rPr>
              <w:t>the</w:t>
            </w:r>
            <w:r w:rsidR="00B13284" w:rsidRPr="00520C23">
              <w:rPr>
                <w:rFonts w:cstheme="minorHAnsi"/>
                <w:i/>
                <w:iCs/>
              </w:rPr>
              <w:t xml:space="preserve"> </w:t>
            </w:r>
            <w:r w:rsidRPr="00520C23">
              <w:rPr>
                <w:rFonts w:cstheme="minorHAnsi"/>
                <w:i/>
                <w:iCs/>
              </w:rPr>
              <w:t>Operator</w:t>
            </w:r>
            <w:r w:rsidR="00B13284" w:rsidRPr="00520C23">
              <w:rPr>
                <w:rFonts w:cstheme="minorHAnsi"/>
                <w:i/>
                <w:iCs/>
              </w:rPr>
              <w:t xml:space="preserve"> </w:t>
            </w:r>
            <w:r w:rsidRPr="00520C23">
              <w:rPr>
                <w:rFonts w:cstheme="minorHAnsi"/>
                <w:i/>
                <w:iCs/>
              </w:rPr>
              <w:t>shall</w:t>
            </w:r>
            <w:r w:rsidR="00B13284" w:rsidRPr="00520C23">
              <w:rPr>
                <w:rFonts w:cstheme="minorHAnsi"/>
                <w:i/>
                <w:iCs/>
              </w:rPr>
              <w:t xml:space="preserve"> </w:t>
            </w:r>
            <w:r w:rsidRPr="00520C23">
              <w:rPr>
                <w:rFonts w:cstheme="minorHAnsi"/>
                <w:i/>
                <w:iCs/>
              </w:rPr>
              <w:t>report</w:t>
            </w:r>
            <w:r w:rsidR="00B13284" w:rsidRPr="00520C23">
              <w:rPr>
                <w:rFonts w:cstheme="minorHAnsi"/>
                <w:i/>
                <w:iCs/>
              </w:rPr>
              <w:t xml:space="preserve"> </w:t>
            </w:r>
            <w:r w:rsidRPr="00520C23">
              <w:rPr>
                <w:rFonts w:cstheme="minorHAnsi"/>
                <w:i/>
                <w:iCs/>
              </w:rPr>
              <w:t>to</w:t>
            </w:r>
            <w:r w:rsidR="00B13284" w:rsidRPr="00520C23">
              <w:rPr>
                <w:rFonts w:cstheme="minorHAnsi"/>
                <w:i/>
                <w:iCs/>
              </w:rPr>
              <w:t xml:space="preserve"> </w:t>
            </w:r>
            <w:r w:rsidRPr="00520C23">
              <w:rPr>
                <w:rFonts w:cstheme="minorHAnsi"/>
                <w:i/>
                <w:iCs/>
              </w:rPr>
              <w:t>an</w:t>
            </w:r>
            <w:r w:rsidR="00B13284" w:rsidRPr="00520C23">
              <w:rPr>
                <w:rFonts w:cstheme="minorHAnsi"/>
                <w:i/>
                <w:iCs/>
              </w:rPr>
              <w:t xml:space="preserve"> </w:t>
            </w:r>
            <w:r w:rsidRPr="00520C23">
              <w:rPr>
                <w:rFonts w:cstheme="minorHAnsi"/>
                <w:i/>
                <w:iCs/>
              </w:rPr>
              <w:t>Inspector on the action taken in relation to the notice.</w:t>
            </w:r>
          </w:p>
          <w:p w14:paraId="794696B9" w14:textId="77777777" w:rsidR="000B089B" w:rsidRPr="00520C23" w:rsidRDefault="000B089B" w:rsidP="009437DC">
            <w:pPr>
              <w:numPr>
                <w:ilvl w:val="0"/>
                <w:numId w:val="26"/>
              </w:numPr>
              <w:spacing w:before="120"/>
              <w:rPr>
                <w:rFonts w:cstheme="minorHAnsi"/>
                <w:i/>
                <w:iCs/>
              </w:rPr>
            </w:pPr>
            <w:r w:rsidRPr="00520C23">
              <w:rPr>
                <w:rFonts w:cstheme="minorHAnsi"/>
                <w:i/>
                <w:iCs/>
              </w:rPr>
              <w:t>An Inspector may:</w:t>
            </w:r>
          </w:p>
          <w:p w14:paraId="24112009" w14:textId="77777777" w:rsidR="000B089B" w:rsidRPr="00520C23" w:rsidRDefault="000B089B" w:rsidP="009437DC">
            <w:pPr>
              <w:numPr>
                <w:ilvl w:val="0"/>
                <w:numId w:val="29"/>
              </w:numPr>
              <w:spacing w:before="120"/>
              <w:rPr>
                <w:rFonts w:cstheme="minorHAnsi"/>
                <w:i/>
                <w:iCs/>
              </w:rPr>
            </w:pPr>
            <w:r w:rsidRPr="00520C23">
              <w:rPr>
                <w:rFonts w:cstheme="minorHAnsi"/>
                <w:i/>
                <w:iCs/>
              </w:rPr>
              <w:t>direct that no further work be carried out until the matter referred to in the notice is remedied;</w:t>
            </w:r>
          </w:p>
          <w:p w14:paraId="4006B13E" w14:textId="77777777" w:rsidR="000B089B" w:rsidRPr="00520C23" w:rsidRDefault="000B089B" w:rsidP="009437DC">
            <w:pPr>
              <w:numPr>
                <w:ilvl w:val="0"/>
                <w:numId w:val="29"/>
              </w:numPr>
              <w:spacing w:before="120"/>
              <w:rPr>
                <w:rFonts w:cstheme="minorHAnsi"/>
                <w:i/>
                <w:iCs/>
              </w:rPr>
            </w:pPr>
            <w:r w:rsidRPr="00520C23">
              <w:rPr>
                <w:rFonts w:cstheme="minorHAnsi"/>
                <w:i/>
                <w:iCs/>
              </w:rPr>
              <w:t>give directions as to the measures to be taken to remedy the matter referred to in the notice, which directions may include:</w:t>
            </w:r>
          </w:p>
          <w:p w14:paraId="5BCA654C" w14:textId="77777777" w:rsidR="000B089B" w:rsidRPr="00520C23" w:rsidRDefault="000B089B" w:rsidP="009437DC">
            <w:pPr>
              <w:numPr>
                <w:ilvl w:val="0"/>
                <w:numId w:val="30"/>
              </w:numPr>
              <w:spacing w:before="120"/>
              <w:rPr>
                <w:rFonts w:cstheme="minorHAnsi"/>
                <w:i/>
                <w:iCs/>
              </w:rPr>
            </w:pPr>
            <w:r w:rsidRPr="00520C23">
              <w:rPr>
                <w:rFonts w:cstheme="minorHAnsi"/>
                <w:i/>
                <w:iCs/>
              </w:rPr>
              <w:t>that plant be repaired or replaced;</w:t>
            </w:r>
          </w:p>
          <w:p w14:paraId="7E9D0346" w14:textId="77777777" w:rsidR="000B089B" w:rsidRPr="00520C23" w:rsidRDefault="000B089B" w:rsidP="009437DC">
            <w:pPr>
              <w:numPr>
                <w:ilvl w:val="0"/>
                <w:numId w:val="30"/>
              </w:numPr>
              <w:spacing w:before="120"/>
              <w:rPr>
                <w:rFonts w:cstheme="minorHAnsi"/>
                <w:i/>
                <w:iCs/>
              </w:rPr>
            </w:pPr>
            <w:r w:rsidRPr="00520C23">
              <w:rPr>
                <w:rFonts w:cstheme="minorHAnsi"/>
                <w:i/>
                <w:iCs/>
              </w:rPr>
              <w:t>that any part of the environment be restored or rehabilitated;</w:t>
            </w:r>
          </w:p>
          <w:p w14:paraId="68939F7F" w14:textId="77777777" w:rsidR="000B089B" w:rsidRPr="00520C23" w:rsidRDefault="000B089B" w:rsidP="009437DC">
            <w:pPr>
              <w:numPr>
                <w:ilvl w:val="0"/>
                <w:numId w:val="30"/>
              </w:numPr>
              <w:spacing w:before="120"/>
              <w:rPr>
                <w:rFonts w:cstheme="minorHAnsi"/>
                <w:i/>
                <w:iCs/>
              </w:rPr>
            </w:pPr>
            <w:r w:rsidRPr="00520C23">
              <w:rPr>
                <w:rFonts w:cstheme="minorHAnsi"/>
                <w:i/>
                <w:iCs/>
              </w:rPr>
              <w:t>that a particular work practice be altered or discontinued.</w:t>
            </w:r>
          </w:p>
          <w:p w14:paraId="025AA9C6" w14:textId="77777777" w:rsidR="000B089B" w:rsidRPr="00520C23" w:rsidRDefault="000B089B" w:rsidP="009437DC">
            <w:pPr>
              <w:numPr>
                <w:ilvl w:val="0"/>
                <w:numId w:val="26"/>
              </w:numPr>
              <w:spacing w:before="120"/>
              <w:rPr>
                <w:rFonts w:cstheme="minorHAnsi"/>
                <w:i/>
                <w:iCs/>
              </w:rPr>
            </w:pPr>
            <w:r w:rsidRPr="00520C23">
              <w:rPr>
                <w:rFonts w:cstheme="minorHAnsi"/>
                <w:i/>
                <w:iCs/>
              </w:rPr>
              <w:lastRenderedPageBreak/>
              <w:t>An Operator shall not contravene, or fail to comply with, a notice given under this requirement.</w:t>
            </w:r>
          </w:p>
          <w:p w14:paraId="6B2FD437" w14:textId="77777777" w:rsidR="000B089B" w:rsidRPr="00520C23" w:rsidRDefault="000B089B" w:rsidP="009437DC">
            <w:pPr>
              <w:numPr>
                <w:ilvl w:val="0"/>
                <w:numId w:val="26"/>
              </w:numPr>
              <w:spacing w:before="120"/>
              <w:rPr>
                <w:rFonts w:cstheme="minorHAnsi"/>
                <w:i/>
                <w:iCs/>
              </w:rPr>
            </w:pPr>
            <w:r w:rsidRPr="00520C23">
              <w:rPr>
                <w:rFonts w:cstheme="minorHAnsi"/>
                <w:i/>
                <w:iCs/>
              </w:rPr>
              <w:t>An Operator shall not re-commence operations without approval.</w:t>
            </w:r>
          </w:p>
          <w:p w14:paraId="24ED202B" w14:textId="77777777" w:rsidR="000B089B" w:rsidRPr="00520C23" w:rsidRDefault="000B089B" w:rsidP="007E5E9D">
            <w:pPr>
              <w:spacing w:before="120"/>
              <w:rPr>
                <w:rFonts w:cstheme="minorHAnsi"/>
                <w:i/>
                <w:iCs/>
                <w:u w:val="single"/>
              </w:rPr>
            </w:pPr>
            <w:r w:rsidRPr="00520C23">
              <w:rPr>
                <w:rFonts w:cstheme="minorHAnsi"/>
                <w:i/>
                <w:iCs/>
                <w:u w:val="single"/>
              </w:rPr>
              <w:t>302a Well barrier integrity validation reporting</w:t>
            </w:r>
          </w:p>
          <w:p w14:paraId="37F7E877" w14:textId="61BE48D8" w:rsidR="000B089B" w:rsidRPr="00520C23" w:rsidRDefault="000B089B" w:rsidP="007E5E9D">
            <w:pPr>
              <w:spacing w:before="120"/>
              <w:rPr>
                <w:rFonts w:cstheme="minorHAnsi"/>
                <w:i/>
                <w:iCs/>
              </w:rPr>
            </w:pPr>
            <w:r w:rsidRPr="00520C23">
              <w:rPr>
                <w:rFonts w:cstheme="minorHAnsi"/>
                <w:i/>
                <w:iCs/>
              </w:rPr>
              <w:t>It is a requirement that, on any occasion a titleholder validates, installs, replaces or modifies</w:t>
            </w:r>
            <w:r w:rsidR="00B13284" w:rsidRPr="00520C23">
              <w:rPr>
                <w:rFonts w:cstheme="minorHAnsi"/>
                <w:i/>
                <w:iCs/>
              </w:rPr>
              <w:t xml:space="preserve"> </w:t>
            </w:r>
            <w:r w:rsidRPr="00520C23">
              <w:rPr>
                <w:rFonts w:cstheme="minorHAnsi"/>
                <w:i/>
                <w:iCs/>
              </w:rPr>
              <w:t>a</w:t>
            </w:r>
            <w:r w:rsidR="00B13284" w:rsidRPr="00520C23">
              <w:rPr>
                <w:rFonts w:cstheme="minorHAnsi"/>
                <w:i/>
                <w:iCs/>
              </w:rPr>
              <w:t xml:space="preserve"> </w:t>
            </w:r>
            <w:r w:rsidRPr="00520C23">
              <w:rPr>
                <w:rFonts w:cstheme="minorHAnsi"/>
                <w:i/>
                <w:iCs/>
              </w:rPr>
              <w:t>well</w:t>
            </w:r>
            <w:r w:rsidR="00B13284" w:rsidRPr="00520C23">
              <w:rPr>
                <w:rFonts w:cstheme="minorHAnsi"/>
                <w:i/>
                <w:iCs/>
              </w:rPr>
              <w:t xml:space="preserve"> </w:t>
            </w:r>
            <w:r w:rsidRPr="00520C23">
              <w:rPr>
                <w:rFonts w:cstheme="minorHAnsi"/>
                <w:i/>
                <w:iCs/>
              </w:rPr>
              <w:t>barrier,</w:t>
            </w:r>
            <w:r w:rsidR="00B13284" w:rsidRPr="00520C23">
              <w:rPr>
                <w:rFonts w:cstheme="minorHAnsi"/>
                <w:i/>
                <w:iCs/>
              </w:rPr>
              <w:t xml:space="preserve"> </w:t>
            </w:r>
            <w:r w:rsidRPr="00520C23">
              <w:rPr>
                <w:rFonts w:cstheme="minorHAnsi"/>
                <w:i/>
                <w:iCs/>
              </w:rPr>
              <w:t>or</w:t>
            </w:r>
            <w:r w:rsidR="00B13284" w:rsidRPr="00520C23">
              <w:rPr>
                <w:rFonts w:cstheme="minorHAnsi"/>
                <w:i/>
                <w:iCs/>
              </w:rPr>
              <w:t xml:space="preserve"> </w:t>
            </w:r>
            <w:r w:rsidRPr="00520C23">
              <w:rPr>
                <w:rFonts w:cstheme="minorHAnsi"/>
                <w:i/>
                <w:iCs/>
              </w:rPr>
              <w:t>identifies</w:t>
            </w:r>
            <w:r w:rsidR="00B13284" w:rsidRPr="00520C23">
              <w:rPr>
                <w:rFonts w:cstheme="minorHAnsi"/>
                <w:i/>
                <w:iCs/>
              </w:rPr>
              <w:t xml:space="preserve"> </w:t>
            </w:r>
            <w:r w:rsidRPr="00520C23">
              <w:rPr>
                <w:rFonts w:cstheme="minorHAnsi"/>
                <w:i/>
                <w:iCs/>
              </w:rPr>
              <w:t>degraded</w:t>
            </w:r>
            <w:r w:rsidR="00B13284" w:rsidRPr="00520C23">
              <w:rPr>
                <w:rFonts w:cstheme="minorHAnsi"/>
                <w:i/>
                <w:iCs/>
              </w:rPr>
              <w:t xml:space="preserve"> </w:t>
            </w:r>
            <w:r w:rsidRPr="00520C23">
              <w:rPr>
                <w:rFonts w:cstheme="minorHAnsi"/>
                <w:i/>
                <w:iCs/>
              </w:rPr>
              <w:t>performance</w:t>
            </w:r>
            <w:r w:rsidR="00B13284" w:rsidRPr="00520C23">
              <w:rPr>
                <w:rFonts w:cstheme="minorHAnsi"/>
                <w:i/>
                <w:iCs/>
              </w:rPr>
              <w:t xml:space="preserve"> </w:t>
            </w:r>
            <w:r w:rsidRPr="00520C23">
              <w:rPr>
                <w:rFonts w:cstheme="minorHAnsi"/>
                <w:i/>
                <w:iCs/>
              </w:rPr>
              <w:t>from</w:t>
            </w:r>
            <w:r w:rsidR="00B13284" w:rsidRPr="00520C23">
              <w:rPr>
                <w:rFonts w:cstheme="minorHAnsi"/>
                <w:i/>
                <w:iCs/>
              </w:rPr>
              <w:t xml:space="preserve"> </w:t>
            </w:r>
            <w:r w:rsidRPr="00520C23">
              <w:rPr>
                <w:rFonts w:cstheme="minorHAnsi"/>
                <w:i/>
                <w:iCs/>
              </w:rPr>
              <w:t>a</w:t>
            </w:r>
            <w:r w:rsidR="00B13284" w:rsidRPr="00520C23">
              <w:rPr>
                <w:rFonts w:cstheme="minorHAnsi"/>
                <w:i/>
                <w:iCs/>
              </w:rPr>
              <w:t xml:space="preserve"> </w:t>
            </w:r>
            <w:r w:rsidRPr="00520C23">
              <w:rPr>
                <w:rFonts w:cstheme="minorHAnsi"/>
                <w:i/>
                <w:iCs/>
              </w:rPr>
              <w:t>barrier,</w:t>
            </w:r>
            <w:r w:rsidR="00B13284" w:rsidRPr="00520C23">
              <w:rPr>
                <w:rFonts w:cstheme="minorHAnsi"/>
                <w:i/>
                <w:iCs/>
              </w:rPr>
              <w:t xml:space="preserve"> </w:t>
            </w:r>
            <w:r w:rsidRPr="00520C23">
              <w:rPr>
                <w:rFonts w:cstheme="minorHAnsi"/>
                <w:i/>
                <w:iCs/>
              </w:rPr>
              <w:t>the titleholder</w:t>
            </w:r>
            <w:r w:rsidR="00B13284" w:rsidRPr="00520C23">
              <w:rPr>
                <w:rFonts w:cstheme="minorHAnsi"/>
                <w:i/>
                <w:iCs/>
              </w:rPr>
              <w:t xml:space="preserve"> </w:t>
            </w:r>
            <w:r w:rsidRPr="00520C23">
              <w:rPr>
                <w:rFonts w:cstheme="minorHAnsi"/>
                <w:i/>
                <w:iCs/>
              </w:rPr>
              <w:t>must</w:t>
            </w:r>
            <w:r w:rsidR="00B13284" w:rsidRPr="00520C23">
              <w:rPr>
                <w:rFonts w:cstheme="minorHAnsi"/>
                <w:i/>
                <w:iCs/>
              </w:rPr>
              <w:t xml:space="preserve"> </w:t>
            </w:r>
            <w:r w:rsidRPr="00520C23">
              <w:rPr>
                <w:rFonts w:cstheme="minorHAnsi"/>
                <w:i/>
                <w:iCs/>
              </w:rPr>
              <w:t>submit</w:t>
            </w:r>
            <w:r w:rsidR="00B13284" w:rsidRPr="00520C23">
              <w:rPr>
                <w:rFonts w:cstheme="minorHAnsi"/>
                <w:i/>
                <w:iCs/>
              </w:rPr>
              <w:t xml:space="preserve"> </w:t>
            </w:r>
            <w:r w:rsidRPr="00520C23">
              <w:rPr>
                <w:rFonts w:cstheme="minorHAnsi"/>
                <w:i/>
                <w:iCs/>
              </w:rPr>
              <w:t>a</w:t>
            </w:r>
            <w:r w:rsidR="00B13284" w:rsidRPr="00520C23">
              <w:rPr>
                <w:rFonts w:cstheme="minorHAnsi"/>
                <w:i/>
                <w:iCs/>
              </w:rPr>
              <w:t xml:space="preserve"> </w:t>
            </w:r>
            <w:r w:rsidRPr="00520C23">
              <w:rPr>
                <w:rFonts w:cstheme="minorHAnsi"/>
                <w:i/>
                <w:iCs/>
              </w:rPr>
              <w:t>“Well</w:t>
            </w:r>
            <w:r w:rsidR="00B13284" w:rsidRPr="00520C23">
              <w:rPr>
                <w:rFonts w:cstheme="minorHAnsi"/>
                <w:i/>
                <w:iCs/>
              </w:rPr>
              <w:t xml:space="preserve"> </w:t>
            </w:r>
            <w:r w:rsidRPr="00520C23">
              <w:rPr>
                <w:rFonts w:cstheme="minorHAnsi"/>
                <w:i/>
                <w:iCs/>
              </w:rPr>
              <w:t>Barrier</w:t>
            </w:r>
            <w:r w:rsidR="00B13284" w:rsidRPr="00520C23">
              <w:rPr>
                <w:rFonts w:cstheme="minorHAnsi"/>
                <w:i/>
                <w:iCs/>
              </w:rPr>
              <w:t xml:space="preserve"> </w:t>
            </w:r>
            <w:r w:rsidRPr="00520C23">
              <w:rPr>
                <w:rFonts w:cstheme="minorHAnsi"/>
                <w:i/>
                <w:iCs/>
              </w:rPr>
              <w:t>Integrity</w:t>
            </w:r>
            <w:r w:rsidR="00B13284" w:rsidRPr="00520C23">
              <w:rPr>
                <w:rFonts w:cstheme="minorHAnsi"/>
                <w:i/>
                <w:iCs/>
              </w:rPr>
              <w:t xml:space="preserve"> </w:t>
            </w:r>
            <w:r w:rsidRPr="00520C23">
              <w:rPr>
                <w:rFonts w:cstheme="minorHAnsi"/>
                <w:i/>
                <w:iCs/>
              </w:rPr>
              <w:t>Validation”</w:t>
            </w:r>
            <w:r w:rsidR="00B13284" w:rsidRPr="00520C23">
              <w:rPr>
                <w:rFonts w:cstheme="minorHAnsi"/>
                <w:i/>
                <w:iCs/>
              </w:rPr>
              <w:t xml:space="preserve"> </w:t>
            </w:r>
            <w:r w:rsidRPr="00520C23">
              <w:rPr>
                <w:rFonts w:cstheme="minorHAnsi"/>
                <w:i/>
                <w:iCs/>
              </w:rPr>
              <w:t>report</w:t>
            </w:r>
            <w:r w:rsidR="00B13284" w:rsidRPr="00520C23">
              <w:rPr>
                <w:rFonts w:cstheme="minorHAnsi"/>
                <w:i/>
                <w:iCs/>
              </w:rPr>
              <w:t xml:space="preserve"> </w:t>
            </w:r>
            <w:r w:rsidRPr="00520C23">
              <w:rPr>
                <w:rFonts w:cstheme="minorHAnsi"/>
                <w:i/>
                <w:iCs/>
              </w:rPr>
              <w:t>as</w:t>
            </w:r>
            <w:r w:rsidR="00B13284" w:rsidRPr="00520C23">
              <w:rPr>
                <w:rFonts w:cstheme="minorHAnsi"/>
                <w:i/>
                <w:iCs/>
              </w:rPr>
              <w:t xml:space="preserve"> </w:t>
            </w:r>
            <w:r w:rsidRPr="00520C23">
              <w:rPr>
                <w:rFonts w:cstheme="minorHAnsi"/>
                <w:i/>
                <w:iCs/>
              </w:rPr>
              <w:t>per</w:t>
            </w:r>
            <w:r w:rsidR="00B13284" w:rsidRPr="00520C23">
              <w:rPr>
                <w:rFonts w:cstheme="minorHAnsi"/>
                <w:i/>
                <w:iCs/>
              </w:rPr>
              <w:t xml:space="preserve"> </w:t>
            </w:r>
            <w:r w:rsidRPr="00520C23">
              <w:rPr>
                <w:rFonts w:cstheme="minorHAnsi"/>
                <w:i/>
                <w:iCs/>
              </w:rPr>
              <w:t>the</w:t>
            </w:r>
            <w:r w:rsidR="00B13284" w:rsidRPr="00520C23">
              <w:rPr>
                <w:rFonts w:cstheme="minorHAnsi"/>
                <w:i/>
                <w:iCs/>
              </w:rPr>
              <w:t xml:space="preserve"> </w:t>
            </w:r>
            <w:r w:rsidRPr="00520C23">
              <w:rPr>
                <w:rFonts w:cstheme="minorHAnsi"/>
                <w:i/>
                <w:iCs/>
              </w:rPr>
              <w:t xml:space="preserve">Department’s guideline: “Well Barrier Integrity Validation Reporting”. </w:t>
            </w:r>
          </w:p>
          <w:p w14:paraId="3C9DE4B6" w14:textId="77777777" w:rsidR="000B089B" w:rsidRPr="00520C23" w:rsidRDefault="000B089B" w:rsidP="007E5E9D">
            <w:pPr>
              <w:spacing w:before="120"/>
              <w:rPr>
                <w:rFonts w:cstheme="minorHAnsi"/>
                <w:i/>
                <w:iCs/>
              </w:rPr>
            </w:pPr>
            <w:r w:rsidRPr="00520C23">
              <w:rPr>
                <w:rFonts w:cstheme="minorHAnsi"/>
                <w:i/>
                <w:iCs/>
              </w:rPr>
              <w:t>The Well Barrier Integrity Validation Report (WBIV) is to be uploaded on the Department’s website.</w:t>
            </w:r>
          </w:p>
          <w:p w14:paraId="105BFEE6" w14:textId="77777777" w:rsidR="000B089B" w:rsidRPr="00520C23" w:rsidRDefault="000B089B" w:rsidP="007E5E9D">
            <w:pPr>
              <w:spacing w:before="120"/>
              <w:rPr>
                <w:rFonts w:cstheme="minorHAnsi"/>
                <w:i/>
                <w:iCs/>
              </w:rPr>
            </w:pPr>
            <w:r w:rsidRPr="00520C23">
              <w:rPr>
                <w:rFonts w:cstheme="minorHAnsi"/>
                <w:i/>
                <w:iCs/>
              </w:rPr>
              <w:t>In accordance with Clause 103, and before submission to the Department, the titleholder will have the following results in the WBIV certified by an independent and reputable validator.</w:t>
            </w:r>
          </w:p>
          <w:p w14:paraId="344E7CCC" w14:textId="77777777" w:rsidR="000B089B" w:rsidRPr="00520C23" w:rsidRDefault="000B089B" w:rsidP="009437DC">
            <w:pPr>
              <w:numPr>
                <w:ilvl w:val="0"/>
                <w:numId w:val="23"/>
              </w:numPr>
              <w:spacing w:before="120"/>
              <w:rPr>
                <w:rFonts w:cstheme="minorHAnsi"/>
                <w:i/>
                <w:iCs/>
              </w:rPr>
            </w:pPr>
            <w:r w:rsidRPr="00520C23">
              <w:rPr>
                <w:rFonts w:cstheme="minorHAnsi"/>
                <w:i/>
                <w:iCs/>
              </w:rPr>
              <w:t>Results of any well integrity tests conducted before and after hydraulic fracturing;</w:t>
            </w:r>
          </w:p>
          <w:p w14:paraId="42165D46" w14:textId="77777777" w:rsidR="000B089B" w:rsidRPr="00520C23" w:rsidRDefault="000B089B" w:rsidP="009437DC">
            <w:pPr>
              <w:numPr>
                <w:ilvl w:val="0"/>
                <w:numId w:val="23"/>
              </w:numPr>
              <w:spacing w:before="120"/>
              <w:rPr>
                <w:rFonts w:cstheme="minorHAnsi"/>
                <w:i/>
                <w:iCs/>
              </w:rPr>
            </w:pPr>
            <w:r w:rsidRPr="00520C23">
              <w:rPr>
                <w:rFonts w:cstheme="minorHAnsi"/>
                <w:i/>
                <w:iCs/>
              </w:rPr>
              <w:t>Results of any integrity tests after a well barrier is installed, replaced or modified.</w:t>
            </w:r>
          </w:p>
          <w:p w14:paraId="6F0524FD" w14:textId="77777777" w:rsidR="000B089B" w:rsidRPr="00520C23" w:rsidRDefault="000B089B" w:rsidP="007E5E9D">
            <w:pPr>
              <w:spacing w:before="120"/>
              <w:rPr>
                <w:rFonts w:cstheme="minorHAnsi"/>
                <w:i/>
                <w:iCs/>
                <w:u w:val="single"/>
              </w:rPr>
            </w:pPr>
            <w:r w:rsidRPr="00520C23">
              <w:rPr>
                <w:rFonts w:cstheme="minorHAnsi"/>
                <w:i/>
                <w:iCs/>
                <w:u w:val="single"/>
              </w:rPr>
              <w:t>421 Protection of completed wells</w:t>
            </w:r>
          </w:p>
          <w:p w14:paraId="3368E098" w14:textId="596D04C8" w:rsidR="000B089B" w:rsidRPr="00520C23" w:rsidRDefault="000B089B" w:rsidP="009437DC">
            <w:pPr>
              <w:numPr>
                <w:ilvl w:val="0"/>
                <w:numId w:val="24"/>
              </w:numPr>
              <w:spacing w:before="120"/>
              <w:rPr>
                <w:rFonts w:cstheme="minorHAnsi"/>
                <w:i/>
                <w:iCs/>
              </w:rPr>
            </w:pPr>
            <w:r w:rsidRPr="00520C23">
              <w:rPr>
                <w:rFonts w:cstheme="minorHAnsi"/>
                <w:i/>
                <w:iCs/>
              </w:rPr>
              <w:t xml:space="preserve"> A</w:t>
            </w:r>
            <w:r w:rsidR="00B13284" w:rsidRPr="00520C23">
              <w:rPr>
                <w:rFonts w:cstheme="minorHAnsi"/>
                <w:i/>
                <w:iCs/>
              </w:rPr>
              <w:t xml:space="preserve"> </w:t>
            </w:r>
            <w:r w:rsidRPr="00520C23">
              <w:rPr>
                <w:rFonts w:cstheme="minorHAnsi"/>
                <w:i/>
                <w:iCs/>
              </w:rPr>
              <w:t>well</w:t>
            </w:r>
            <w:r w:rsidR="00B13284" w:rsidRPr="00520C23">
              <w:rPr>
                <w:rFonts w:cstheme="minorHAnsi"/>
                <w:i/>
                <w:iCs/>
              </w:rPr>
              <w:t xml:space="preserve"> </w:t>
            </w:r>
            <w:r w:rsidRPr="00520C23">
              <w:rPr>
                <w:rFonts w:cstheme="minorHAnsi"/>
                <w:i/>
                <w:iCs/>
              </w:rPr>
              <w:t>that</w:t>
            </w:r>
            <w:r w:rsidR="00B13284" w:rsidRPr="00520C23">
              <w:rPr>
                <w:rFonts w:cstheme="minorHAnsi"/>
                <w:i/>
                <w:iCs/>
              </w:rPr>
              <w:t xml:space="preserve"> </w:t>
            </w:r>
            <w:r w:rsidRPr="00520C23">
              <w:rPr>
                <w:rFonts w:cstheme="minorHAnsi"/>
                <w:i/>
                <w:iCs/>
              </w:rPr>
              <w:t>has</w:t>
            </w:r>
            <w:r w:rsidR="00B13284" w:rsidRPr="00520C23">
              <w:rPr>
                <w:rFonts w:cstheme="minorHAnsi"/>
                <w:i/>
                <w:iCs/>
              </w:rPr>
              <w:t xml:space="preserve"> </w:t>
            </w:r>
            <w:r w:rsidRPr="00520C23">
              <w:rPr>
                <w:rFonts w:cstheme="minorHAnsi"/>
                <w:i/>
                <w:iCs/>
              </w:rPr>
              <w:t>not</w:t>
            </w:r>
            <w:r w:rsidR="00B13284" w:rsidRPr="00520C23">
              <w:rPr>
                <w:rFonts w:cstheme="minorHAnsi"/>
                <w:i/>
                <w:iCs/>
              </w:rPr>
              <w:t xml:space="preserve"> </w:t>
            </w:r>
            <w:r w:rsidRPr="00520C23">
              <w:rPr>
                <w:rFonts w:cstheme="minorHAnsi"/>
                <w:i/>
                <w:iCs/>
              </w:rPr>
              <w:t>been</w:t>
            </w:r>
            <w:r w:rsidR="00B13284" w:rsidRPr="00520C23">
              <w:rPr>
                <w:rFonts w:cstheme="minorHAnsi"/>
                <w:i/>
                <w:iCs/>
              </w:rPr>
              <w:t xml:space="preserve"> </w:t>
            </w:r>
            <w:r w:rsidRPr="00520C23">
              <w:rPr>
                <w:rFonts w:cstheme="minorHAnsi"/>
                <w:i/>
                <w:iCs/>
              </w:rPr>
              <w:t>suspended</w:t>
            </w:r>
            <w:r w:rsidR="00B13284" w:rsidRPr="00520C23">
              <w:rPr>
                <w:rFonts w:cstheme="minorHAnsi"/>
                <w:i/>
                <w:iCs/>
              </w:rPr>
              <w:t xml:space="preserve"> </w:t>
            </w:r>
            <w:r w:rsidRPr="00520C23">
              <w:rPr>
                <w:rFonts w:cstheme="minorHAnsi"/>
                <w:i/>
                <w:iCs/>
              </w:rPr>
              <w:t>or</w:t>
            </w:r>
            <w:r w:rsidR="00B13284" w:rsidRPr="00520C23">
              <w:rPr>
                <w:rFonts w:cstheme="minorHAnsi"/>
                <w:i/>
                <w:iCs/>
              </w:rPr>
              <w:t xml:space="preserve"> </w:t>
            </w:r>
            <w:r w:rsidRPr="00520C23">
              <w:rPr>
                <w:rFonts w:cstheme="minorHAnsi"/>
                <w:i/>
                <w:iCs/>
              </w:rPr>
              <w:t>plugged</w:t>
            </w:r>
            <w:r w:rsidR="00B13284" w:rsidRPr="00520C23">
              <w:rPr>
                <w:rFonts w:cstheme="minorHAnsi"/>
                <w:i/>
                <w:iCs/>
              </w:rPr>
              <w:t xml:space="preserve"> </w:t>
            </w:r>
            <w:r w:rsidRPr="00520C23">
              <w:rPr>
                <w:rFonts w:cstheme="minorHAnsi"/>
                <w:i/>
                <w:iCs/>
              </w:rPr>
              <w:t>and</w:t>
            </w:r>
            <w:r w:rsidR="00B13284" w:rsidRPr="00520C23">
              <w:rPr>
                <w:rFonts w:cstheme="minorHAnsi"/>
                <w:i/>
                <w:iCs/>
              </w:rPr>
              <w:t xml:space="preserve"> </w:t>
            </w:r>
            <w:r w:rsidRPr="00520C23">
              <w:rPr>
                <w:rFonts w:cstheme="minorHAnsi"/>
                <w:i/>
                <w:iCs/>
              </w:rPr>
              <w:t>abandoned</w:t>
            </w:r>
            <w:r w:rsidR="00B13284" w:rsidRPr="00520C23">
              <w:rPr>
                <w:rFonts w:cstheme="minorHAnsi"/>
                <w:i/>
                <w:iCs/>
              </w:rPr>
              <w:t xml:space="preserve"> </w:t>
            </w:r>
            <w:r w:rsidRPr="00520C23">
              <w:rPr>
                <w:rFonts w:cstheme="minorHAnsi"/>
                <w:i/>
                <w:iCs/>
              </w:rPr>
              <w:t>shall</w:t>
            </w:r>
            <w:r w:rsidR="00B13284" w:rsidRPr="00520C23">
              <w:rPr>
                <w:rFonts w:cstheme="minorHAnsi"/>
                <w:i/>
                <w:iCs/>
              </w:rPr>
              <w:t xml:space="preserve"> </w:t>
            </w:r>
            <w:r w:rsidRPr="00520C23">
              <w:rPr>
                <w:rFonts w:cstheme="minorHAnsi"/>
                <w:i/>
                <w:iCs/>
              </w:rPr>
              <w:t>be</w:t>
            </w:r>
            <w:r w:rsidR="00B13284" w:rsidRPr="00520C23">
              <w:rPr>
                <w:rFonts w:cstheme="minorHAnsi"/>
                <w:i/>
                <w:iCs/>
              </w:rPr>
              <w:t xml:space="preserve"> </w:t>
            </w:r>
            <w:r w:rsidRPr="00520C23">
              <w:rPr>
                <w:rFonts w:cstheme="minorHAnsi"/>
                <w:i/>
                <w:iCs/>
              </w:rPr>
              <w:t>inspected at intervals not exceeding six months.</w:t>
            </w:r>
          </w:p>
          <w:p w14:paraId="597CE33C" w14:textId="77777777" w:rsidR="000B089B" w:rsidRPr="00520C23" w:rsidRDefault="000B089B" w:rsidP="009437DC">
            <w:pPr>
              <w:numPr>
                <w:ilvl w:val="0"/>
                <w:numId w:val="24"/>
              </w:numPr>
              <w:spacing w:before="120"/>
              <w:rPr>
                <w:rFonts w:cstheme="minorHAnsi"/>
                <w:i/>
                <w:iCs/>
              </w:rPr>
            </w:pPr>
            <w:r w:rsidRPr="00520C23">
              <w:rPr>
                <w:rFonts w:cstheme="minorHAnsi"/>
                <w:i/>
                <w:iCs/>
              </w:rPr>
              <w:t>On an inspection under Sub-Clause (2):</w:t>
            </w:r>
          </w:p>
          <w:p w14:paraId="27266198" w14:textId="77777777" w:rsidR="000B089B" w:rsidRPr="00520C23" w:rsidRDefault="000B089B" w:rsidP="009437DC">
            <w:pPr>
              <w:numPr>
                <w:ilvl w:val="0"/>
                <w:numId w:val="25"/>
              </w:numPr>
              <w:spacing w:before="120"/>
              <w:rPr>
                <w:rFonts w:cstheme="minorHAnsi"/>
                <w:i/>
                <w:iCs/>
              </w:rPr>
            </w:pPr>
            <w:r w:rsidRPr="00520C23">
              <w:rPr>
                <w:rFonts w:cstheme="minorHAnsi"/>
                <w:i/>
                <w:iCs/>
              </w:rPr>
              <w:t>all tubing and annulus pressures shall be measured;</w:t>
            </w:r>
          </w:p>
          <w:p w14:paraId="067AD42C" w14:textId="77777777" w:rsidR="000B089B" w:rsidRPr="00520C23" w:rsidRDefault="000B089B" w:rsidP="009437DC">
            <w:pPr>
              <w:numPr>
                <w:ilvl w:val="0"/>
                <w:numId w:val="25"/>
              </w:numPr>
              <w:spacing w:before="120"/>
              <w:rPr>
                <w:rFonts w:cstheme="minorHAnsi"/>
                <w:i/>
                <w:iCs/>
              </w:rPr>
            </w:pPr>
            <w:r w:rsidRPr="00520C23">
              <w:rPr>
                <w:rFonts w:cstheme="minorHAnsi"/>
                <w:i/>
                <w:iCs/>
              </w:rPr>
              <w:t>any evidence of communication shall be evaluated;</w:t>
            </w:r>
          </w:p>
          <w:p w14:paraId="312A4831" w14:textId="7ABE33AB" w:rsidR="000B089B" w:rsidRPr="00520C23" w:rsidRDefault="000B089B" w:rsidP="009437DC">
            <w:pPr>
              <w:numPr>
                <w:ilvl w:val="0"/>
                <w:numId w:val="25"/>
              </w:numPr>
              <w:spacing w:before="120"/>
              <w:rPr>
                <w:rFonts w:cstheme="minorHAnsi"/>
                <w:i/>
                <w:iCs/>
              </w:rPr>
            </w:pPr>
            <w:r w:rsidRPr="00520C23">
              <w:rPr>
                <w:rFonts w:cstheme="minorHAnsi"/>
                <w:i/>
                <w:iCs/>
              </w:rPr>
              <w:t>integrity</w:t>
            </w:r>
            <w:r w:rsidR="00B13284" w:rsidRPr="00520C23">
              <w:rPr>
                <w:rFonts w:cstheme="minorHAnsi"/>
                <w:i/>
                <w:iCs/>
              </w:rPr>
              <w:t xml:space="preserve"> </w:t>
            </w:r>
            <w:r w:rsidRPr="00520C23">
              <w:rPr>
                <w:rFonts w:cstheme="minorHAnsi"/>
                <w:i/>
                <w:iCs/>
              </w:rPr>
              <w:t>of</w:t>
            </w:r>
            <w:r w:rsidR="00B13284" w:rsidRPr="00520C23">
              <w:rPr>
                <w:rFonts w:cstheme="minorHAnsi"/>
                <w:i/>
                <w:iCs/>
              </w:rPr>
              <w:t xml:space="preserve"> </w:t>
            </w:r>
            <w:r w:rsidRPr="00520C23">
              <w:rPr>
                <w:rFonts w:cstheme="minorHAnsi"/>
                <w:i/>
                <w:iCs/>
              </w:rPr>
              <w:t>surface</w:t>
            </w:r>
            <w:r w:rsidR="00B13284" w:rsidRPr="00520C23">
              <w:rPr>
                <w:rFonts w:cstheme="minorHAnsi"/>
                <w:i/>
                <w:iCs/>
              </w:rPr>
              <w:t xml:space="preserve"> </w:t>
            </w:r>
            <w:r w:rsidRPr="00520C23">
              <w:rPr>
                <w:rFonts w:cstheme="minorHAnsi"/>
                <w:i/>
                <w:iCs/>
              </w:rPr>
              <w:t>equipment</w:t>
            </w:r>
            <w:r w:rsidR="00B13284" w:rsidRPr="00520C23">
              <w:rPr>
                <w:rFonts w:cstheme="minorHAnsi"/>
                <w:i/>
                <w:iCs/>
              </w:rPr>
              <w:t xml:space="preserve"> </w:t>
            </w:r>
            <w:r w:rsidRPr="00520C23">
              <w:rPr>
                <w:rFonts w:cstheme="minorHAnsi"/>
                <w:i/>
                <w:iCs/>
              </w:rPr>
              <w:t>including</w:t>
            </w:r>
            <w:r w:rsidR="00B13284" w:rsidRPr="00520C23">
              <w:rPr>
                <w:rFonts w:cstheme="minorHAnsi"/>
                <w:i/>
                <w:iCs/>
              </w:rPr>
              <w:t xml:space="preserve"> </w:t>
            </w:r>
            <w:r w:rsidRPr="00520C23">
              <w:rPr>
                <w:rFonts w:cstheme="minorHAnsi"/>
                <w:i/>
                <w:iCs/>
              </w:rPr>
              <w:t>valves,</w:t>
            </w:r>
            <w:r w:rsidR="00B13284" w:rsidRPr="00520C23">
              <w:rPr>
                <w:rFonts w:cstheme="minorHAnsi"/>
                <w:i/>
                <w:iCs/>
              </w:rPr>
              <w:t xml:space="preserve"> </w:t>
            </w:r>
            <w:r w:rsidRPr="00520C23">
              <w:rPr>
                <w:rFonts w:cstheme="minorHAnsi"/>
                <w:i/>
                <w:iCs/>
              </w:rPr>
              <w:t>gauges,</w:t>
            </w:r>
            <w:r w:rsidR="00B13284" w:rsidRPr="00520C23">
              <w:rPr>
                <w:rFonts w:cstheme="minorHAnsi"/>
                <w:i/>
                <w:iCs/>
              </w:rPr>
              <w:t xml:space="preserve"> </w:t>
            </w:r>
            <w:r w:rsidRPr="00520C23">
              <w:rPr>
                <w:rFonts w:cstheme="minorHAnsi"/>
                <w:i/>
                <w:iCs/>
              </w:rPr>
              <w:t>vents</w:t>
            </w:r>
            <w:r w:rsidR="00B13284" w:rsidRPr="00520C23">
              <w:rPr>
                <w:rFonts w:cstheme="minorHAnsi"/>
                <w:i/>
                <w:iCs/>
              </w:rPr>
              <w:t xml:space="preserve"> </w:t>
            </w:r>
            <w:r w:rsidRPr="00520C23">
              <w:rPr>
                <w:rFonts w:cstheme="minorHAnsi"/>
                <w:i/>
                <w:iCs/>
              </w:rPr>
              <w:t>and</w:t>
            </w:r>
            <w:r w:rsidR="00B13284" w:rsidRPr="00520C23">
              <w:rPr>
                <w:rFonts w:cstheme="minorHAnsi"/>
                <w:i/>
                <w:iCs/>
              </w:rPr>
              <w:t xml:space="preserve"> </w:t>
            </w:r>
            <w:r w:rsidRPr="00520C23">
              <w:rPr>
                <w:rFonts w:cstheme="minorHAnsi"/>
                <w:i/>
                <w:iCs/>
              </w:rPr>
              <w:t>joints shall be assessed; and</w:t>
            </w:r>
          </w:p>
          <w:p w14:paraId="3E206016" w14:textId="2D779F30" w:rsidR="000B089B" w:rsidRPr="00520C23" w:rsidRDefault="000B089B" w:rsidP="009437DC">
            <w:pPr>
              <w:numPr>
                <w:ilvl w:val="0"/>
                <w:numId w:val="25"/>
              </w:numPr>
              <w:spacing w:before="120"/>
              <w:rPr>
                <w:rFonts w:cstheme="minorHAnsi"/>
                <w:i/>
                <w:iCs/>
              </w:rPr>
            </w:pPr>
            <w:r w:rsidRPr="00520C23">
              <w:rPr>
                <w:rFonts w:cstheme="minorHAnsi"/>
                <w:i/>
                <w:iCs/>
              </w:rPr>
              <w:t>the</w:t>
            </w:r>
            <w:r w:rsidR="00B13284" w:rsidRPr="00520C23">
              <w:rPr>
                <w:rFonts w:cstheme="minorHAnsi"/>
                <w:i/>
                <w:iCs/>
              </w:rPr>
              <w:t xml:space="preserve"> </w:t>
            </w:r>
            <w:r w:rsidRPr="00520C23">
              <w:rPr>
                <w:rFonts w:cstheme="minorHAnsi"/>
                <w:i/>
                <w:iCs/>
              </w:rPr>
              <w:t>extent</w:t>
            </w:r>
            <w:r w:rsidR="00B13284" w:rsidRPr="00520C23">
              <w:rPr>
                <w:rFonts w:cstheme="minorHAnsi"/>
                <w:i/>
                <w:iCs/>
              </w:rPr>
              <w:t xml:space="preserve"> </w:t>
            </w:r>
            <w:r w:rsidRPr="00520C23">
              <w:rPr>
                <w:rFonts w:cstheme="minorHAnsi"/>
                <w:i/>
                <w:iCs/>
              </w:rPr>
              <w:t xml:space="preserve"> of</w:t>
            </w:r>
            <w:r w:rsidR="00B13284" w:rsidRPr="00520C23">
              <w:rPr>
                <w:rFonts w:cstheme="minorHAnsi"/>
                <w:i/>
                <w:iCs/>
              </w:rPr>
              <w:t xml:space="preserve"> </w:t>
            </w:r>
            <w:r w:rsidRPr="00520C23">
              <w:rPr>
                <w:rFonts w:cstheme="minorHAnsi"/>
                <w:i/>
                <w:iCs/>
              </w:rPr>
              <w:t xml:space="preserve"> any</w:t>
            </w:r>
            <w:r w:rsidR="00B13284" w:rsidRPr="00520C23">
              <w:rPr>
                <w:rFonts w:cstheme="minorHAnsi"/>
                <w:i/>
                <w:iCs/>
              </w:rPr>
              <w:t xml:space="preserve"> </w:t>
            </w:r>
            <w:r w:rsidRPr="00520C23">
              <w:rPr>
                <w:rFonts w:cstheme="minorHAnsi"/>
                <w:i/>
                <w:iCs/>
              </w:rPr>
              <w:t xml:space="preserve"> necessary</w:t>
            </w:r>
            <w:r w:rsidR="00B13284" w:rsidRPr="00520C23">
              <w:rPr>
                <w:rFonts w:cstheme="minorHAnsi"/>
                <w:i/>
                <w:iCs/>
              </w:rPr>
              <w:t xml:space="preserve"> </w:t>
            </w:r>
            <w:r w:rsidRPr="00520C23">
              <w:rPr>
                <w:rFonts w:cstheme="minorHAnsi"/>
                <w:i/>
                <w:iCs/>
              </w:rPr>
              <w:t xml:space="preserve"> repairs</w:t>
            </w:r>
            <w:r w:rsidR="00B13284" w:rsidRPr="00520C23">
              <w:rPr>
                <w:rFonts w:cstheme="minorHAnsi"/>
                <w:i/>
                <w:iCs/>
              </w:rPr>
              <w:t xml:space="preserve"> </w:t>
            </w:r>
            <w:r w:rsidRPr="00520C23">
              <w:rPr>
                <w:rFonts w:cstheme="minorHAnsi"/>
                <w:i/>
                <w:iCs/>
              </w:rPr>
              <w:t xml:space="preserve"> or</w:t>
            </w:r>
            <w:r w:rsidR="00B13284" w:rsidRPr="00520C23">
              <w:rPr>
                <w:rFonts w:cstheme="minorHAnsi"/>
                <w:i/>
                <w:iCs/>
              </w:rPr>
              <w:t xml:space="preserve"> </w:t>
            </w:r>
            <w:r w:rsidRPr="00520C23">
              <w:rPr>
                <w:rFonts w:cstheme="minorHAnsi"/>
                <w:i/>
                <w:iCs/>
              </w:rPr>
              <w:t xml:space="preserve"> maintenance</w:t>
            </w:r>
            <w:r w:rsidR="00B13284" w:rsidRPr="00520C23">
              <w:rPr>
                <w:rFonts w:cstheme="minorHAnsi"/>
                <w:i/>
                <w:iCs/>
              </w:rPr>
              <w:t xml:space="preserve"> </w:t>
            </w:r>
            <w:r w:rsidRPr="00520C23">
              <w:rPr>
                <w:rFonts w:cstheme="minorHAnsi"/>
                <w:i/>
                <w:iCs/>
              </w:rPr>
              <w:t xml:space="preserve"> shall</w:t>
            </w:r>
            <w:r w:rsidR="00B13284" w:rsidRPr="00520C23">
              <w:rPr>
                <w:rFonts w:cstheme="minorHAnsi"/>
                <w:i/>
                <w:iCs/>
              </w:rPr>
              <w:t xml:space="preserve"> </w:t>
            </w:r>
            <w:r w:rsidRPr="00520C23">
              <w:rPr>
                <w:rFonts w:cstheme="minorHAnsi"/>
                <w:i/>
                <w:iCs/>
              </w:rPr>
              <w:t xml:space="preserve"> be</w:t>
            </w:r>
            <w:r w:rsidR="00B13284" w:rsidRPr="00520C23">
              <w:rPr>
                <w:rFonts w:cstheme="minorHAnsi"/>
                <w:i/>
                <w:iCs/>
              </w:rPr>
              <w:t xml:space="preserve"> </w:t>
            </w:r>
            <w:r w:rsidRPr="00520C23">
              <w:rPr>
                <w:rFonts w:cstheme="minorHAnsi"/>
                <w:i/>
                <w:iCs/>
              </w:rPr>
              <w:t xml:space="preserve"> determined.</w:t>
            </w:r>
          </w:p>
          <w:p w14:paraId="0FBE9D79" w14:textId="7B12EF20" w:rsidR="000B089B" w:rsidRPr="00520C23" w:rsidRDefault="000B089B" w:rsidP="007E5E9D">
            <w:pPr>
              <w:spacing w:before="120"/>
              <w:rPr>
                <w:rFonts w:cstheme="minorHAnsi"/>
              </w:rPr>
            </w:pPr>
            <w:r w:rsidRPr="00520C23">
              <w:rPr>
                <w:rFonts w:cstheme="minorHAnsi"/>
                <w:i/>
                <w:iCs/>
              </w:rPr>
              <w:t>At approved intervals but not less frequent than 5 years the Operator shall run corrosion logs to determine the rate of corrosion of the production casing.</w:t>
            </w:r>
          </w:p>
        </w:tc>
        <w:tc>
          <w:tcPr>
            <w:tcW w:w="5310" w:type="dxa"/>
            <w:shd w:val="clear" w:color="auto" w:fill="FED6D6"/>
          </w:tcPr>
          <w:p w14:paraId="1EABF6F0" w14:textId="75D09EA6" w:rsidR="000B089B" w:rsidRPr="00520C23" w:rsidRDefault="224CFB92" w:rsidP="004056C4">
            <w:pPr>
              <w:spacing w:before="120"/>
            </w:pPr>
            <w:r w:rsidRPr="00520C23">
              <w:lastRenderedPageBreak/>
              <w:t>The</w:t>
            </w:r>
            <w:r w:rsidR="000B089B" w:rsidRPr="00520C23">
              <w:t xml:space="preserve"> Code does not </w:t>
            </w:r>
            <w:r w:rsidR="00366CDA" w:rsidRPr="00520C23">
              <w:t xml:space="preserve">adequately address </w:t>
            </w:r>
            <w:r w:rsidR="000B089B" w:rsidRPr="00520C23">
              <w:t xml:space="preserve">recommendation 5.3. </w:t>
            </w:r>
          </w:p>
          <w:p w14:paraId="4200AB02" w14:textId="1A0F1FEC" w:rsidR="000B089B" w:rsidRPr="00520C23" w:rsidRDefault="000B089B" w:rsidP="004056C4">
            <w:pPr>
              <w:spacing w:before="120"/>
              <w:rPr>
                <w:rFonts w:cstheme="minorHAnsi"/>
                <w:i/>
                <w:u w:val="single"/>
              </w:rPr>
            </w:pPr>
            <w:r w:rsidRPr="00520C23">
              <w:rPr>
                <w:rFonts w:cstheme="minorHAnsi"/>
                <w:i/>
                <w:u w:val="single"/>
              </w:rPr>
              <w:t xml:space="preserve">Comments </w:t>
            </w:r>
          </w:p>
          <w:p w14:paraId="1EE44A3B" w14:textId="78A2C470" w:rsidR="000B089B" w:rsidRPr="00520C23" w:rsidRDefault="000B089B" w:rsidP="009437DC">
            <w:pPr>
              <w:pStyle w:val="ListParagraph"/>
              <w:numPr>
                <w:ilvl w:val="0"/>
                <w:numId w:val="12"/>
              </w:numPr>
              <w:spacing w:before="120"/>
              <w:rPr>
                <w:rFonts w:cstheme="minorHAnsi"/>
              </w:rPr>
            </w:pPr>
            <w:r w:rsidRPr="00520C23">
              <w:rPr>
                <w:rFonts w:cstheme="minorHAnsi"/>
              </w:rPr>
              <w:t>Neither the Code nor the Schedule contain any specification or requirement for a minimum Category 9 standard, which includes 4 barriers (see the Inquiry’s report at Table 5.2 on page 62).</w:t>
            </w:r>
            <w:r w:rsidR="00B13284" w:rsidRPr="00520C23">
              <w:rPr>
                <w:rFonts w:cstheme="minorHAnsi"/>
              </w:rPr>
              <w:t xml:space="preserve"> </w:t>
            </w:r>
            <w:r w:rsidRPr="00520C23">
              <w:rPr>
                <w:rFonts w:cstheme="minorHAnsi"/>
              </w:rPr>
              <w:t xml:space="preserve">Instead, B.4.3.2(b) requires only </w:t>
            </w:r>
            <w:r w:rsidR="00985E29" w:rsidRPr="00520C23">
              <w:rPr>
                <w:rFonts w:cstheme="minorHAnsi"/>
              </w:rPr>
              <w:t xml:space="preserve">that there be </w:t>
            </w:r>
            <w:r w:rsidRPr="00520C23">
              <w:rPr>
                <w:rFonts w:cstheme="minorHAnsi"/>
              </w:rPr>
              <w:t>“</w:t>
            </w:r>
            <w:r w:rsidRPr="00520C23">
              <w:rPr>
                <w:rFonts w:cstheme="minorHAnsi"/>
                <w:i/>
                <w:iCs/>
              </w:rPr>
              <w:t>at least two verified well barriers</w:t>
            </w:r>
            <w:r w:rsidRPr="00520C23">
              <w:rPr>
                <w:rFonts w:cstheme="minorHAnsi"/>
              </w:rPr>
              <w:t>.”</w:t>
            </w:r>
          </w:p>
          <w:p w14:paraId="187228D4" w14:textId="7FB5FE5F" w:rsidR="000B089B" w:rsidRPr="00520C23" w:rsidRDefault="000B089B" w:rsidP="009437DC">
            <w:pPr>
              <w:pStyle w:val="ListParagraph"/>
              <w:numPr>
                <w:ilvl w:val="0"/>
                <w:numId w:val="12"/>
              </w:numPr>
              <w:spacing w:before="120"/>
              <w:rPr>
                <w:rFonts w:cstheme="minorHAnsi"/>
              </w:rPr>
            </w:pPr>
            <w:r w:rsidRPr="00520C23">
              <w:rPr>
                <w:rFonts w:cstheme="minorHAnsi"/>
              </w:rPr>
              <w:t xml:space="preserve">Neither the Code nor the Schedule explicitly require the results of well integrity testing programs and remedial actions to be published </w:t>
            </w:r>
            <w:r w:rsidR="00AA1D98" w:rsidRPr="00520C23">
              <w:rPr>
                <w:rFonts w:cstheme="minorHAnsi"/>
              </w:rPr>
              <w:t>“</w:t>
            </w:r>
            <w:r w:rsidRPr="00520C23">
              <w:rPr>
                <w:rFonts w:cstheme="minorHAnsi"/>
                <w:i/>
                <w:iCs/>
              </w:rPr>
              <w:t>as soon as they are available</w:t>
            </w:r>
            <w:r w:rsidRPr="00520C23">
              <w:rPr>
                <w:rFonts w:cstheme="minorHAnsi"/>
              </w:rPr>
              <w:t>.</w:t>
            </w:r>
            <w:r w:rsidR="00AA1D98" w:rsidRPr="00520C23">
              <w:rPr>
                <w:rFonts w:cstheme="minorHAnsi"/>
              </w:rPr>
              <w:t>”</w:t>
            </w:r>
            <w:r w:rsidRPr="00520C23">
              <w:rPr>
                <w:rFonts w:cstheme="minorHAnsi"/>
              </w:rPr>
              <w:t xml:space="preserve"> </w:t>
            </w:r>
          </w:p>
          <w:p w14:paraId="2FE7E339" w14:textId="3A1BB0A6" w:rsidR="000B089B" w:rsidRPr="00520C23" w:rsidRDefault="00F92C40" w:rsidP="009437DC">
            <w:pPr>
              <w:pStyle w:val="ListParagraph"/>
              <w:numPr>
                <w:ilvl w:val="0"/>
                <w:numId w:val="12"/>
              </w:numPr>
              <w:spacing w:before="120"/>
              <w:rPr>
                <w:rFonts w:cstheme="minorHAnsi"/>
              </w:rPr>
            </w:pPr>
            <w:r w:rsidRPr="00520C23">
              <w:rPr>
                <w:rFonts w:cstheme="minorHAnsi"/>
              </w:rPr>
              <w:t>Several</w:t>
            </w:r>
            <w:r w:rsidR="000745D3" w:rsidRPr="00520C23">
              <w:rPr>
                <w:rFonts w:cstheme="minorHAnsi"/>
              </w:rPr>
              <w:t xml:space="preserve"> well integrity</w:t>
            </w:r>
            <w:r w:rsidR="000B089B" w:rsidRPr="00520C23">
              <w:rPr>
                <w:rFonts w:cstheme="minorHAnsi"/>
              </w:rPr>
              <w:t xml:space="preserve"> “requirements” </w:t>
            </w:r>
            <w:r w:rsidR="000745D3" w:rsidRPr="00520C23">
              <w:rPr>
                <w:rFonts w:cstheme="minorHAnsi"/>
              </w:rPr>
              <w:t xml:space="preserve">in the Code </w:t>
            </w:r>
            <w:r w:rsidR="000B089B" w:rsidRPr="00520C23">
              <w:rPr>
                <w:rFonts w:cstheme="minorHAnsi"/>
              </w:rPr>
              <w:t xml:space="preserve">are identified as “preferred,” </w:t>
            </w:r>
            <w:r w:rsidR="004F332E" w:rsidRPr="00520C23">
              <w:rPr>
                <w:rFonts w:cstheme="minorHAnsi"/>
              </w:rPr>
              <w:t xml:space="preserve">whereas </w:t>
            </w:r>
            <w:r w:rsidR="00A92A0E" w:rsidRPr="00520C23">
              <w:rPr>
                <w:rFonts w:cstheme="minorHAnsi"/>
              </w:rPr>
              <w:t>applying t</w:t>
            </w:r>
            <w:r w:rsidR="004F332E" w:rsidRPr="00520C23">
              <w:rPr>
                <w:rFonts w:cstheme="minorHAnsi"/>
              </w:rPr>
              <w:t>he spirit of the Inquiry’s recommendations would likely hav</w:t>
            </w:r>
            <w:r w:rsidR="00A92A0E" w:rsidRPr="00520C23">
              <w:rPr>
                <w:rFonts w:cstheme="minorHAnsi"/>
              </w:rPr>
              <w:t>e led to these being listed in the Code as</w:t>
            </w:r>
            <w:r w:rsidR="000B089B" w:rsidRPr="00520C23">
              <w:rPr>
                <w:rFonts w:cstheme="minorHAnsi"/>
              </w:rPr>
              <w:t xml:space="preserve"> “</w:t>
            </w:r>
            <w:r w:rsidR="000B089B" w:rsidRPr="00520C23">
              <w:rPr>
                <w:rFonts w:cstheme="minorHAnsi"/>
                <w:b/>
                <w:bCs/>
              </w:rPr>
              <w:t>mandatory</w:t>
            </w:r>
            <w:r w:rsidR="00A92A0E" w:rsidRPr="00520C23">
              <w:rPr>
                <w:rFonts w:cstheme="minorHAnsi"/>
              </w:rPr>
              <w:t>.</w:t>
            </w:r>
            <w:r w:rsidR="000B089B" w:rsidRPr="00520C23">
              <w:rPr>
                <w:rFonts w:cstheme="minorHAnsi"/>
              </w:rPr>
              <w:t>”</w:t>
            </w:r>
            <w:r w:rsidR="00A92A0E" w:rsidRPr="00520C23">
              <w:rPr>
                <w:rFonts w:cstheme="minorHAnsi"/>
              </w:rPr>
              <w:t xml:space="preserve"> </w:t>
            </w:r>
            <w:r w:rsidR="000B089B" w:rsidRPr="00520C23">
              <w:rPr>
                <w:rFonts w:cstheme="minorHAnsi"/>
              </w:rPr>
              <w:t xml:space="preserve">Examples of “preferred” requirements which should be mandatory include: </w:t>
            </w:r>
          </w:p>
          <w:p w14:paraId="16DA39FF" w14:textId="60F75D55" w:rsidR="000B089B" w:rsidRPr="00520C23" w:rsidRDefault="000B089B" w:rsidP="009437DC">
            <w:pPr>
              <w:pStyle w:val="ListParagraph"/>
              <w:numPr>
                <w:ilvl w:val="1"/>
                <w:numId w:val="12"/>
              </w:numPr>
              <w:spacing w:before="120"/>
              <w:rPr>
                <w:rFonts w:cstheme="minorHAnsi"/>
              </w:rPr>
            </w:pPr>
            <w:r w:rsidRPr="00520C23">
              <w:rPr>
                <w:rFonts w:cstheme="minorHAnsi"/>
              </w:rPr>
              <w:t>B.4.1.3(a): “</w:t>
            </w:r>
            <w:r w:rsidRPr="00520C23">
              <w:rPr>
                <w:rFonts w:cstheme="minorHAnsi"/>
                <w:i/>
                <w:iCs/>
              </w:rPr>
              <w:t>Well barriers along with their related function and associated acceptance criteria should be identified and monitored/tested as necessary.</w:t>
            </w:r>
            <w:r w:rsidR="00B13284" w:rsidRPr="00520C23">
              <w:rPr>
                <w:rFonts w:cstheme="minorHAnsi"/>
                <w:i/>
                <w:iCs/>
              </w:rPr>
              <w:t xml:space="preserve"> </w:t>
            </w:r>
            <w:r w:rsidRPr="00520C23">
              <w:rPr>
                <w:rFonts w:cstheme="minorHAnsi"/>
                <w:i/>
                <w:iCs/>
              </w:rPr>
              <w:t>The barriers should be maintained as necessary through the well life cycle and re-established or compensated for when impaired.</w:t>
            </w:r>
            <w:r w:rsidR="00B13284" w:rsidRPr="00520C23">
              <w:rPr>
                <w:rFonts w:cstheme="minorHAnsi"/>
                <w:i/>
                <w:iCs/>
              </w:rPr>
              <w:t xml:space="preserve"> </w:t>
            </w:r>
            <w:r w:rsidRPr="00520C23">
              <w:rPr>
                <w:rFonts w:cstheme="minorHAnsi"/>
                <w:i/>
                <w:iCs/>
              </w:rPr>
              <w:t>Parameters that could affect well integrity negatively should be monitored</w:t>
            </w:r>
            <w:r w:rsidRPr="00520C23">
              <w:rPr>
                <w:rFonts w:cstheme="minorHAnsi"/>
              </w:rPr>
              <w:t xml:space="preserve">.” </w:t>
            </w:r>
          </w:p>
          <w:p w14:paraId="4CEFA136" w14:textId="2065E7C2" w:rsidR="000B089B" w:rsidRPr="00520C23" w:rsidRDefault="000B089B" w:rsidP="009437DC">
            <w:pPr>
              <w:pStyle w:val="ListParagraph"/>
              <w:numPr>
                <w:ilvl w:val="1"/>
                <w:numId w:val="12"/>
              </w:numPr>
              <w:spacing w:before="120"/>
              <w:rPr>
                <w:rFonts w:cstheme="minorHAnsi"/>
              </w:rPr>
            </w:pPr>
            <w:r w:rsidRPr="00520C23">
              <w:rPr>
                <w:rFonts w:cstheme="minorHAnsi"/>
                <w:bCs/>
              </w:rPr>
              <w:t>B.4.3.3(</w:t>
            </w:r>
            <w:r w:rsidRPr="00520C23">
              <w:rPr>
                <w:rFonts w:cstheme="minorHAnsi"/>
              </w:rPr>
              <w:t>a): “</w:t>
            </w:r>
            <w:r w:rsidRPr="00520C23">
              <w:rPr>
                <w:rFonts w:cstheme="minorHAnsi"/>
                <w:i/>
                <w:iCs/>
              </w:rPr>
              <w:t>Review information available from previous drilling (offset wells) near the proposed well to assist in the design process for new wells</w:t>
            </w:r>
            <w:r w:rsidRPr="00520C23">
              <w:rPr>
                <w:rFonts w:cstheme="minorHAnsi"/>
              </w:rPr>
              <w:t xml:space="preserve">.” </w:t>
            </w:r>
          </w:p>
          <w:p w14:paraId="20086997" w14:textId="1CDE0FBD" w:rsidR="000B089B" w:rsidRPr="00520C23" w:rsidRDefault="000B089B" w:rsidP="009437DC">
            <w:pPr>
              <w:pStyle w:val="ListParagraph"/>
              <w:numPr>
                <w:ilvl w:val="1"/>
                <w:numId w:val="12"/>
              </w:numPr>
              <w:spacing w:before="120"/>
              <w:rPr>
                <w:rFonts w:cstheme="minorHAnsi"/>
                <w:i/>
                <w:iCs/>
              </w:rPr>
            </w:pPr>
            <w:r w:rsidRPr="00520C23">
              <w:rPr>
                <w:rFonts w:cstheme="minorHAnsi"/>
                <w:bCs/>
              </w:rPr>
              <w:t>B.4.3.3(</w:t>
            </w:r>
            <w:r w:rsidRPr="00520C23">
              <w:rPr>
                <w:rFonts w:cstheme="minorHAnsi"/>
              </w:rPr>
              <w:t>b): “</w:t>
            </w:r>
            <w:r w:rsidRPr="00520C23">
              <w:rPr>
                <w:rFonts w:cstheme="minorHAnsi"/>
                <w:i/>
                <w:iCs/>
              </w:rPr>
              <w:t xml:space="preserve">Review information on geological strata and formations, and fluids within them, that the well may intersect and any hazards which such strata and formations may contain.” </w:t>
            </w:r>
          </w:p>
          <w:p w14:paraId="23C06326" w14:textId="5E155F24" w:rsidR="000B089B" w:rsidRPr="00520C23" w:rsidRDefault="000B089B" w:rsidP="009437DC">
            <w:pPr>
              <w:pStyle w:val="ListParagraph"/>
              <w:numPr>
                <w:ilvl w:val="1"/>
                <w:numId w:val="12"/>
              </w:numPr>
              <w:spacing w:before="120"/>
              <w:rPr>
                <w:rFonts w:cstheme="minorHAnsi"/>
              </w:rPr>
            </w:pPr>
            <w:r w:rsidRPr="00520C23">
              <w:rPr>
                <w:rFonts w:cstheme="minorHAnsi"/>
              </w:rPr>
              <w:lastRenderedPageBreak/>
              <w:t>B.4.3.3(i): “</w:t>
            </w:r>
            <w:r w:rsidRPr="00520C23">
              <w:rPr>
                <w:rFonts w:cstheme="minorHAnsi"/>
                <w:i/>
                <w:iCs/>
              </w:rPr>
              <w:t xml:space="preserve">Well design should be completed by </w:t>
            </w:r>
            <w:r w:rsidRPr="00520C23">
              <w:rPr>
                <w:rFonts w:cstheme="minorHAnsi"/>
                <w:bCs/>
                <w:i/>
                <w:iCs/>
              </w:rPr>
              <w:t>competent personnel</w:t>
            </w:r>
            <w:r w:rsidRPr="00520C23">
              <w:rPr>
                <w:rFonts w:cstheme="minorHAnsi"/>
                <w:i/>
                <w:iCs/>
              </w:rPr>
              <w:t xml:space="preserve">….” </w:t>
            </w:r>
          </w:p>
        </w:tc>
      </w:tr>
      <w:tr w:rsidR="00EA3C33" w:rsidRPr="00520C23" w14:paraId="67E66058" w14:textId="77777777" w:rsidTr="00EA3C33">
        <w:tc>
          <w:tcPr>
            <w:tcW w:w="846" w:type="dxa"/>
            <w:shd w:val="clear" w:color="auto" w:fill="auto"/>
          </w:tcPr>
          <w:p w14:paraId="2824B713" w14:textId="77777777" w:rsidR="000B089B" w:rsidRPr="00520C23" w:rsidRDefault="000B089B" w:rsidP="004056C4">
            <w:pPr>
              <w:spacing w:before="120"/>
              <w:jc w:val="center"/>
              <w:rPr>
                <w:rFonts w:cstheme="minorHAnsi"/>
              </w:rPr>
            </w:pPr>
            <w:r w:rsidRPr="00520C23">
              <w:rPr>
                <w:rFonts w:cstheme="minorHAnsi"/>
              </w:rPr>
              <w:lastRenderedPageBreak/>
              <w:t>5.4</w:t>
            </w:r>
          </w:p>
        </w:tc>
        <w:tc>
          <w:tcPr>
            <w:tcW w:w="4819" w:type="dxa"/>
          </w:tcPr>
          <w:p w14:paraId="6A496572" w14:textId="77777777" w:rsidR="000B089B" w:rsidRPr="00520C23" w:rsidRDefault="000B089B" w:rsidP="004056C4">
            <w:pPr>
              <w:spacing w:before="120"/>
              <w:rPr>
                <w:rFonts w:cstheme="minorHAnsi"/>
                <w:i/>
                <w:iCs/>
              </w:rPr>
            </w:pPr>
            <w:r w:rsidRPr="00520C23">
              <w:rPr>
                <w:rFonts w:cstheme="minorHAnsi"/>
                <w:i/>
                <w:iCs/>
              </w:rPr>
              <w:t xml:space="preserve">That prior to the grant of any further exploration approvals, gas companies be required to develop and implement a </w:t>
            </w:r>
            <w:r w:rsidRPr="00520C23">
              <w:rPr>
                <w:rFonts w:cstheme="minorHAnsi"/>
                <w:b/>
                <w:bCs/>
                <w:i/>
                <w:iCs/>
              </w:rPr>
              <w:t>well integrity management system (WIMS) for each well</w:t>
            </w:r>
            <w:r w:rsidRPr="00520C23">
              <w:rPr>
                <w:rFonts w:cstheme="minorHAnsi"/>
                <w:i/>
                <w:iCs/>
              </w:rPr>
              <w:t xml:space="preserve"> complying with ISO 16530-1:2017.</w:t>
            </w:r>
          </w:p>
          <w:p w14:paraId="1CC5C798" w14:textId="3BB5E0F4" w:rsidR="000B089B" w:rsidRPr="00520C23" w:rsidRDefault="000B089B" w:rsidP="004056C4">
            <w:pPr>
              <w:spacing w:before="120"/>
              <w:rPr>
                <w:rFonts w:cstheme="minorHAnsi"/>
                <w:i/>
                <w:iCs/>
              </w:rPr>
            </w:pPr>
            <w:r w:rsidRPr="00520C23">
              <w:rPr>
                <w:rFonts w:cstheme="minorHAnsi"/>
                <w:i/>
                <w:iCs/>
              </w:rPr>
              <w:t xml:space="preserve">That prior to the grant of any further exploration approvals, </w:t>
            </w:r>
            <w:r w:rsidRPr="00520C23">
              <w:rPr>
                <w:rFonts w:cstheme="minorHAnsi"/>
                <w:b/>
                <w:bCs/>
                <w:i/>
                <w:iCs/>
              </w:rPr>
              <w:t xml:space="preserve">each well must have an approved well </w:t>
            </w:r>
            <w:r w:rsidRPr="00520C23">
              <w:rPr>
                <w:rFonts w:cstheme="minorHAnsi"/>
                <w:b/>
                <w:bCs/>
                <w:i/>
                <w:iCs/>
              </w:rPr>
              <w:lastRenderedPageBreak/>
              <w:t>management plan (WOMP) in place that contains, at a minimum, the following elements</w:t>
            </w:r>
            <w:r w:rsidRPr="00520C23">
              <w:rPr>
                <w:rFonts w:cstheme="minorHAnsi"/>
                <w:i/>
                <w:iCs/>
              </w:rPr>
              <w:t xml:space="preserve">: </w:t>
            </w:r>
          </w:p>
          <w:p w14:paraId="6A86CB63" w14:textId="77777777" w:rsidR="000B089B" w:rsidRPr="00520C23" w:rsidRDefault="000B089B" w:rsidP="004056C4">
            <w:pPr>
              <w:spacing w:before="120"/>
              <w:rPr>
                <w:rFonts w:cstheme="minorHAnsi"/>
                <w:i/>
                <w:iCs/>
              </w:rPr>
            </w:pPr>
            <w:r w:rsidRPr="00520C23">
              <w:rPr>
                <w:rFonts w:cstheme="minorHAnsi"/>
                <w:i/>
                <w:iCs/>
              </w:rPr>
              <w:t xml:space="preserve">• consideration of well integrity management across the well life cycle; </w:t>
            </w:r>
          </w:p>
          <w:p w14:paraId="50358582" w14:textId="6941D1D8"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a well integrity risk management process that documents how well integrity hazards are identified and risks assessed; </w:t>
            </w:r>
          </w:p>
          <w:p w14:paraId="304F9F53" w14:textId="5E28DE57"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a well barrier plan containing well barrier performance standards, with specific reference to protection measures for beneficial use aquifers; </w:t>
            </w:r>
          </w:p>
          <w:p w14:paraId="799FF77C" w14:textId="0A4A2886"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a process for periodically verifying well barrier integrity through the operational life of the well and immediately prior to abandonment, and a system for reporting to the regulator the findings from integrity assessments; </w:t>
            </w:r>
          </w:p>
          <w:p w14:paraId="08E64311" w14:textId="01FF2297"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 xml:space="preserve">characterisation data for aquifers, saline water zones, and gas bearing zones in the formations intersected during drilling; and </w:t>
            </w:r>
          </w:p>
          <w:p w14:paraId="04A78FC3" w14:textId="030ECAD2" w:rsidR="000B089B" w:rsidRPr="00520C23" w:rsidRDefault="000B089B" w:rsidP="004056C4">
            <w:pPr>
              <w:spacing w:before="120"/>
              <w:rPr>
                <w:rFonts w:cstheme="minorHAnsi"/>
                <w:i/>
                <w:iCs/>
              </w:rPr>
            </w:pPr>
            <w:r w:rsidRPr="00520C23">
              <w:rPr>
                <w:rFonts w:cstheme="minorHAnsi"/>
                <w:i/>
                <w:iCs/>
              </w:rPr>
              <w:t>•</w:t>
            </w:r>
            <w:r w:rsidR="00B13284" w:rsidRPr="00520C23">
              <w:rPr>
                <w:rFonts w:cstheme="minorHAnsi"/>
                <w:i/>
                <w:iCs/>
              </w:rPr>
              <w:t xml:space="preserve"> </w:t>
            </w:r>
            <w:r w:rsidRPr="00520C23">
              <w:rPr>
                <w:rFonts w:cstheme="minorHAnsi"/>
                <w:i/>
                <w:iCs/>
              </w:rPr>
              <w:t>monitoring methods to be used to detect migration of methane along the outside of the casing.</w:t>
            </w:r>
          </w:p>
        </w:tc>
        <w:tc>
          <w:tcPr>
            <w:tcW w:w="5760" w:type="dxa"/>
          </w:tcPr>
          <w:p w14:paraId="749D679C" w14:textId="77777777" w:rsidR="000B089B" w:rsidRPr="00520C23" w:rsidRDefault="0C821F36" w:rsidP="004056C4">
            <w:pPr>
              <w:spacing w:before="120"/>
              <w:rPr>
                <w:rFonts w:ascii="Calibri" w:eastAsia="Calibri" w:hAnsi="Calibri" w:cs="Calibri"/>
                <w:color w:val="313131"/>
              </w:rPr>
            </w:pPr>
            <w:r w:rsidRPr="00520C23">
              <w:rPr>
                <w:rFonts w:ascii="Calibri" w:eastAsia="Calibri" w:hAnsi="Calibri" w:cs="Calibri"/>
                <w:color w:val="313131"/>
              </w:rPr>
              <w:lastRenderedPageBreak/>
              <w:t xml:space="preserve">The Northern Territory Government worked with independent scientific experts to develop a </w:t>
            </w:r>
            <w:r w:rsidRPr="00520C23">
              <w:rPr>
                <w:rFonts w:ascii="Calibri" w:eastAsia="Calibri" w:hAnsi="Calibri" w:cs="Calibri"/>
                <w:b/>
                <w:bCs/>
                <w:color w:val="313131"/>
              </w:rPr>
              <w:t>Code of Practice</w:t>
            </w:r>
            <w:r w:rsidRPr="00520C23">
              <w:rPr>
                <w:rFonts w:ascii="Calibri" w:eastAsia="Calibri" w:hAnsi="Calibri" w:cs="Calibri"/>
                <w:color w:val="313131"/>
              </w:rPr>
              <w:t xml:space="preserve"> relative to the Inquiry's recommendation. The Code is legally enforceable through the Petroleum (Environment) Regulations 2016. The finalised Code was published on 12 June 2019 and can be found </w:t>
            </w:r>
            <w:hyperlink r:id="rId19">
              <w:r w:rsidRPr="00520C23">
                <w:rPr>
                  <w:rStyle w:val="Hyperlink"/>
                  <w:rFonts w:ascii="Calibri" w:eastAsia="Calibri" w:hAnsi="Calibri" w:cs="Calibri"/>
                </w:rPr>
                <w:t>here</w:t>
              </w:r>
            </w:hyperlink>
            <w:r w:rsidRPr="00520C23">
              <w:rPr>
                <w:rFonts w:ascii="Calibri" w:eastAsia="Calibri" w:hAnsi="Calibri" w:cs="Calibri"/>
                <w:color w:val="313131"/>
              </w:rPr>
              <w:t>.</w:t>
            </w:r>
          </w:p>
          <w:p w14:paraId="0161E8F4" w14:textId="09152391" w:rsidR="00170400" w:rsidRPr="00520C23" w:rsidRDefault="00170400" w:rsidP="001F7DC7">
            <w:pPr>
              <w:spacing w:before="120"/>
              <w:rPr>
                <w:rFonts w:ascii="Calibri" w:eastAsia="Calibri" w:hAnsi="Calibri" w:cs="Calibri"/>
                <w:color w:val="313131"/>
              </w:rPr>
            </w:pPr>
            <w:r w:rsidRPr="00520C23">
              <w:rPr>
                <w:rFonts w:ascii="Calibri" w:eastAsia="Calibri" w:hAnsi="Calibri" w:cs="Calibri"/>
                <w:color w:val="313131"/>
              </w:rPr>
              <w:lastRenderedPageBreak/>
              <w:t>Pursuant to the Petrol</w:t>
            </w:r>
            <w:r w:rsidR="001F7DC7" w:rsidRPr="00520C23">
              <w:rPr>
                <w:rFonts w:ascii="Calibri" w:eastAsia="Calibri" w:hAnsi="Calibri" w:cs="Calibri"/>
                <w:color w:val="313131"/>
              </w:rPr>
              <w:t xml:space="preserve">eum Act, the NT government has also published the </w:t>
            </w:r>
            <w:r w:rsidR="001F7DC7" w:rsidRPr="00520C23">
              <w:rPr>
                <w:rFonts w:ascii="Calibri" w:eastAsia="Calibri" w:hAnsi="Calibri" w:cs="Calibri"/>
                <w:b/>
                <w:bCs/>
                <w:color w:val="313131"/>
              </w:rPr>
              <w:t>Schedule of Onshore Petroleum Exploration and Production Requirements, Northern Territory of Australia</w:t>
            </w:r>
            <w:r w:rsidR="001F7DC7" w:rsidRPr="00520C23">
              <w:rPr>
                <w:rFonts w:ascii="Calibri" w:eastAsia="Calibri" w:hAnsi="Calibri" w:cs="Calibri"/>
                <w:color w:val="313131"/>
              </w:rPr>
              <w:t>; the latest version, dated</w:t>
            </w:r>
            <w:r w:rsidR="006000DF" w:rsidRPr="00520C23">
              <w:rPr>
                <w:rFonts w:ascii="Calibri" w:eastAsia="Calibri" w:hAnsi="Calibri" w:cs="Calibri"/>
                <w:color w:val="313131"/>
              </w:rPr>
              <w:t xml:space="preserve"> 1 June 2021, can be found </w:t>
            </w:r>
            <w:hyperlink r:id="rId20" w:history="1">
              <w:r w:rsidR="006000DF" w:rsidRPr="00520C23">
                <w:rPr>
                  <w:rStyle w:val="Hyperlink"/>
                  <w:rFonts w:ascii="Calibri" w:eastAsia="Calibri" w:hAnsi="Calibri" w:cs="Calibri"/>
                </w:rPr>
                <w:t>here</w:t>
              </w:r>
            </w:hyperlink>
            <w:r w:rsidR="006000DF" w:rsidRPr="00520C23">
              <w:rPr>
                <w:rFonts w:ascii="Calibri" w:eastAsia="Calibri" w:hAnsi="Calibri" w:cs="Calibri"/>
                <w:color w:val="313131"/>
              </w:rPr>
              <w:t>.</w:t>
            </w:r>
          </w:p>
        </w:tc>
        <w:tc>
          <w:tcPr>
            <w:tcW w:w="5670" w:type="dxa"/>
          </w:tcPr>
          <w:p w14:paraId="09868B13" w14:textId="752D4262" w:rsidR="00060C51" w:rsidRPr="00520C23" w:rsidRDefault="00C828C6" w:rsidP="004056C4">
            <w:pPr>
              <w:spacing w:before="120"/>
              <w:rPr>
                <w:rFonts w:cstheme="minorHAnsi"/>
                <w:bCs/>
              </w:rPr>
            </w:pPr>
            <w:r w:rsidRPr="00520C23">
              <w:rPr>
                <w:rFonts w:cstheme="minorHAnsi"/>
                <w:bCs/>
              </w:rPr>
              <w:lastRenderedPageBreak/>
              <w:t xml:space="preserve">This recommendation is </w:t>
            </w:r>
            <w:r w:rsidR="00354836" w:rsidRPr="00520C23">
              <w:rPr>
                <w:rFonts w:cstheme="minorHAnsi"/>
                <w:bCs/>
              </w:rPr>
              <w:t xml:space="preserve">addressed in several places within the Code and Schedule. </w:t>
            </w:r>
          </w:p>
          <w:p w14:paraId="566A3E1F" w14:textId="2B3E210C" w:rsidR="000B089B" w:rsidRPr="00520C23" w:rsidRDefault="000B089B" w:rsidP="004056C4">
            <w:pPr>
              <w:spacing w:before="120"/>
              <w:rPr>
                <w:rFonts w:cstheme="minorHAnsi"/>
                <w:b/>
              </w:rPr>
            </w:pPr>
            <w:r w:rsidRPr="00520C23">
              <w:rPr>
                <w:rFonts w:cstheme="minorHAnsi"/>
                <w:b/>
              </w:rPr>
              <w:t>Code of Practice</w:t>
            </w:r>
          </w:p>
          <w:p w14:paraId="5D5B2F85" w14:textId="247F5420" w:rsidR="000B089B" w:rsidRPr="00520C23" w:rsidRDefault="00354836" w:rsidP="00ED49F4">
            <w:pPr>
              <w:spacing w:before="120"/>
              <w:rPr>
                <w:rFonts w:cstheme="minorHAnsi"/>
                <w:u w:val="single"/>
              </w:rPr>
            </w:pPr>
            <w:r w:rsidRPr="00520C23">
              <w:rPr>
                <w:rFonts w:cstheme="minorHAnsi"/>
                <w:u w:val="single"/>
              </w:rPr>
              <w:t>B.3 Well operations management plans</w:t>
            </w:r>
            <w:r w:rsidRPr="00520C23">
              <w:rPr>
                <w:rFonts w:cstheme="minorHAnsi"/>
              </w:rPr>
              <w:t xml:space="preserve"> (see </w:t>
            </w:r>
            <w:r w:rsidR="000B089B" w:rsidRPr="00520C23">
              <w:rPr>
                <w:rFonts w:cstheme="minorHAnsi"/>
              </w:rPr>
              <w:t>recommendation 5.3</w:t>
            </w:r>
            <w:r w:rsidRPr="00520C23">
              <w:rPr>
                <w:rFonts w:cstheme="minorHAnsi"/>
              </w:rPr>
              <w:t>)</w:t>
            </w:r>
          </w:p>
          <w:p w14:paraId="563FDFA2" w14:textId="77777777" w:rsidR="00FD1237" w:rsidRPr="00520C23" w:rsidRDefault="000B089B" w:rsidP="00ED49F4">
            <w:pPr>
              <w:spacing w:before="120"/>
              <w:rPr>
                <w:rFonts w:cstheme="minorHAnsi"/>
                <w:b/>
                <w:bCs/>
              </w:rPr>
            </w:pPr>
            <w:r w:rsidRPr="00520C23">
              <w:rPr>
                <w:rFonts w:cstheme="minorHAnsi"/>
                <w:bCs/>
                <w:u w:val="single"/>
              </w:rPr>
              <w:t>B.4.1 Well Integrity Management</w:t>
            </w:r>
            <w:r w:rsidR="00354836" w:rsidRPr="00520C23">
              <w:rPr>
                <w:rFonts w:cstheme="minorHAnsi"/>
                <w:bCs/>
                <w:u w:val="single"/>
              </w:rPr>
              <w:t xml:space="preserve"> </w:t>
            </w:r>
            <w:r w:rsidR="00354836" w:rsidRPr="00520C23">
              <w:rPr>
                <w:rFonts w:cstheme="minorHAnsi"/>
                <w:bCs/>
              </w:rPr>
              <w:t>(see recommendation 5.3)</w:t>
            </w:r>
            <w:r w:rsidRPr="00520C23">
              <w:rPr>
                <w:rFonts w:cstheme="minorHAnsi"/>
                <w:b/>
                <w:bCs/>
              </w:rPr>
              <w:t xml:space="preserve"> </w:t>
            </w:r>
          </w:p>
          <w:p w14:paraId="353A1FF2" w14:textId="4D48FE19" w:rsidR="00354836" w:rsidRPr="00520C23" w:rsidRDefault="000B089B" w:rsidP="00ED49F4">
            <w:pPr>
              <w:spacing w:before="120"/>
              <w:rPr>
                <w:rFonts w:cstheme="minorHAnsi"/>
                <w:bCs/>
              </w:rPr>
            </w:pPr>
            <w:r w:rsidRPr="00520C23">
              <w:rPr>
                <w:rFonts w:cstheme="minorHAnsi"/>
                <w:bCs/>
                <w:u w:val="single"/>
              </w:rPr>
              <w:lastRenderedPageBreak/>
              <w:t>B.4.2 Aquifer protection</w:t>
            </w:r>
            <w:r w:rsidRPr="00520C23">
              <w:rPr>
                <w:rFonts w:cstheme="minorHAnsi"/>
                <w:bCs/>
              </w:rPr>
              <w:t xml:space="preserve"> </w:t>
            </w:r>
          </w:p>
          <w:p w14:paraId="0448EBF6" w14:textId="5D61D65B" w:rsidR="00086419" w:rsidRPr="00520C23" w:rsidRDefault="00086419" w:rsidP="00ED49F4">
            <w:pPr>
              <w:spacing w:before="120"/>
              <w:rPr>
                <w:rFonts w:cstheme="minorHAnsi"/>
                <w:u w:val="single"/>
              </w:rPr>
            </w:pPr>
            <w:r w:rsidRPr="00520C23">
              <w:rPr>
                <w:rFonts w:cstheme="minorHAnsi"/>
                <w:u w:val="single"/>
              </w:rPr>
              <w:t>B.4.2.1 Principles</w:t>
            </w:r>
          </w:p>
          <w:p w14:paraId="590E1D89" w14:textId="77777777" w:rsidR="00086419" w:rsidRPr="00520C23" w:rsidRDefault="00086419" w:rsidP="00086419">
            <w:pPr>
              <w:spacing w:before="120"/>
              <w:rPr>
                <w:rFonts w:cstheme="minorHAnsi"/>
                <w:bCs/>
              </w:rPr>
            </w:pPr>
            <w:r w:rsidRPr="00520C23">
              <w:rPr>
                <w:rFonts w:cstheme="minorHAnsi"/>
                <w:bCs/>
              </w:rPr>
              <w:t xml:space="preserve">The protection of aquifers requires the following to be achieved: </w:t>
            </w:r>
          </w:p>
          <w:p w14:paraId="0D8FE61E" w14:textId="6190B39A" w:rsidR="00086419" w:rsidRPr="00520C23" w:rsidRDefault="00086419" w:rsidP="00086419">
            <w:pPr>
              <w:spacing w:before="120"/>
              <w:rPr>
                <w:rFonts w:cstheme="minorHAnsi"/>
                <w:bCs/>
                <w:i/>
                <w:iCs/>
              </w:rPr>
            </w:pPr>
            <w:r w:rsidRPr="00520C23">
              <w:rPr>
                <w:rFonts w:cstheme="minorHAnsi"/>
                <w:bCs/>
                <w:i/>
                <w:iCs/>
              </w:rPr>
              <w:t xml:space="preserve">(a) well-defined stratigraphic definition to the base of the deepest recognised </w:t>
            </w:r>
            <w:r w:rsidRPr="00520C23">
              <w:rPr>
                <w:rFonts w:cstheme="minorHAnsi"/>
                <w:b/>
                <w:bCs/>
                <w:i/>
                <w:iCs/>
              </w:rPr>
              <w:t xml:space="preserve">aquifer </w:t>
            </w:r>
            <w:r w:rsidRPr="00520C23">
              <w:rPr>
                <w:rFonts w:cstheme="minorHAnsi"/>
                <w:bCs/>
                <w:i/>
                <w:iCs/>
              </w:rPr>
              <w:t xml:space="preserve">in the local area prior to drilling… </w:t>
            </w:r>
          </w:p>
          <w:p w14:paraId="3D637108" w14:textId="06FA1B73" w:rsidR="005953DF" w:rsidRPr="00520C23" w:rsidRDefault="005953DF" w:rsidP="005953DF">
            <w:pPr>
              <w:spacing w:before="120"/>
              <w:rPr>
                <w:u w:val="single"/>
              </w:rPr>
            </w:pPr>
            <w:r w:rsidRPr="00520C23">
              <w:rPr>
                <w:u w:val="single"/>
              </w:rPr>
              <w:t>B.4.2.2 Mandatory requirements</w:t>
            </w:r>
          </w:p>
          <w:p w14:paraId="6B51E689" w14:textId="06FA1B73" w:rsidR="00314180" w:rsidRPr="00520C23" w:rsidRDefault="005953DF" w:rsidP="00ED49F4">
            <w:pPr>
              <w:spacing w:before="120"/>
              <w:rPr>
                <w:i/>
              </w:rPr>
            </w:pPr>
            <w:r w:rsidRPr="00520C23">
              <w:rPr>
                <w:i/>
              </w:rPr>
              <w:t xml:space="preserve">…(e) If an aquifer is discovered during drilling that was not identified prior to commencement of drilling, notification to the Minister is required under regulation 23 of the PER. </w:t>
            </w:r>
          </w:p>
          <w:p w14:paraId="1871F4CC" w14:textId="1AC3F9C6" w:rsidR="00B43E00" w:rsidRPr="00520C23" w:rsidRDefault="005953DF" w:rsidP="00ED49F4">
            <w:pPr>
              <w:spacing w:before="120"/>
              <w:rPr>
                <w:rFonts w:cstheme="minorHAnsi"/>
                <w:bCs/>
              </w:rPr>
            </w:pPr>
            <w:r w:rsidRPr="00520C23">
              <w:rPr>
                <w:rFonts w:cstheme="minorHAnsi"/>
                <w:bCs/>
              </w:rPr>
              <w:t xml:space="preserve">This notification should identify whether or not environmental values of the aquifer have been adequately addressed under the EMP and whether or not the EMP requires revision under regulation 17 of the PER. </w:t>
            </w:r>
          </w:p>
          <w:p w14:paraId="49B18D74" w14:textId="46BBFF33" w:rsidR="000B089B" w:rsidRPr="00520C23" w:rsidRDefault="000B089B" w:rsidP="00ED49F4">
            <w:pPr>
              <w:spacing w:before="120"/>
              <w:rPr>
                <w:rFonts w:cstheme="minorHAnsi"/>
                <w:bCs/>
              </w:rPr>
            </w:pPr>
            <w:r w:rsidRPr="00520C23">
              <w:rPr>
                <w:rFonts w:cstheme="minorHAnsi"/>
                <w:bCs/>
                <w:u w:val="single"/>
              </w:rPr>
              <w:t>B.4.3 Well design and well barriers</w:t>
            </w:r>
            <w:r w:rsidRPr="00520C23">
              <w:rPr>
                <w:rFonts w:cstheme="minorHAnsi"/>
                <w:bCs/>
              </w:rPr>
              <w:t xml:space="preserve">. </w:t>
            </w:r>
          </w:p>
          <w:p w14:paraId="3ACD4C65" w14:textId="77777777" w:rsidR="0075155C" w:rsidRPr="00520C23" w:rsidRDefault="0075155C" w:rsidP="0075155C">
            <w:pPr>
              <w:spacing w:before="120"/>
              <w:rPr>
                <w:rFonts w:cstheme="minorHAnsi"/>
                <w:i/>
                <w:iCs/>
              </w:rPr>
            </w:pPr>
            <w:r w:rsidRPr="00520C23">
              <w:rPr>
                <w:rFonts w:cstheme="minorHAnsi"/>
                <w:i/>
                <w:iCs/>
              </w:rPr>
              <w:t xml:space="preserve">…(c) where one or more of the following circumstances applies, less than two verified barriers may be provided: </w:t>
            </w:r>
          </w:p>
          <w:p w14:paraId="70F88FB0" w14:textId="77777777" w:rsidR="0075155C" w:rsidRPr="00520C23" w:rsidRDefault="0075155C" w:rsidP="009437DC">
            <w:pPr>
              <w:pStyle w:val="ListParagraph"/>
              <w:numPr>
                <w:ilvl w:val="0"/>
                <w:numId w:val="77"/>
              </w:numPr>
              <w:spacing w:before="120"/>
              <w:rPr>
                <w:rFonts w:cstheme="minorHAnsi"/>
                <w:i/>
                <w:iCs/>
              </w:rPr>
            </w:pPr>
            <w:r w:rsidRPr="00520C23">
              <w:rPr>
                <w:rFonts w:cstheme="minorHAnsi"/>
                <w:i/>
                <w:iCs/>
              </w:rPr>
              <w:t xml:space="preserve">during top hole or surface hole drilling where shallow hydrocarbon or water flow risk has been assessed as being negligible; </w:t>
            </w:r>
          </w:p>
          <w:p w14:paraId="0AAD5158" w14:textId="77777777" w:rsidR="0075155C" w:rsidRPr="00520C23" w:rsidRDefault="0075155C" w:rsidP="009437DC">
            <w:pPr>
              <w:pStyle w:val="ListParagraph"/>
              <w:numPr>
                <w:ilvl w:val="0"/>
                <w:numId w:val="77"/>
              </w:numPr>
              <w:spacing w:before="120"/>
              <w:rPr>
                <w:rFonts w:cstheme="minorHAnsi"/>
                <w:i/>
                <w:iCs/>
              </w:rPr>
            </w:pPr>
            <w:r w:rsidRPr="00520C23">
              <w:rPr>
                <w:rFonts w:cstheme="minorHAnsi"/>
                <w:i/>
                <w:iCs/>
              </w:rPr>
              <w:t xml:space="preserve">during diverter drilling; </w:t>
            </w:r>
          </w:p>
          <w:p w14:paraId="361660EE" w14:textId="77777777" w:rsidR="0075155C" w:rsidRPr="00520C23" w:rsidRDefault="0075155C" w:rsidP="009437DC">
            <w:pPr>
              <w:pStyle w:val="ListParagraph"/>
              <w:numPr>
                <w:ilvl w:val="0"/>
                <w:numId w:val="77"/>
              </w:numPr>
              <w:spacing w:before="120"/>
              <w:rPr>
                <w:rFonts w:cstheme="minorHAnsi"/>
                <w:i/>
                <w:iCs/>
              </w:rPr>
            </w:pPr>
            <w:r w:rsidRPr="00520C23">
              <w:rPr>
                <w:rFonts w:cstheme="minorHAnsi"/>
                <w:i/>
                <w:iCs/>
              </w:rPr>
              <w:t xml:space="preserve">during well decommissioning when two formations need to be isolated from one another and two barriers are not feasible, and a continuous cement plug extending minimum 50m above to 50m below the interface is placed instead; or </w:t>
            </w:r>
          </w:p>
          <w:p w14:paraId="4D01013E" w14:textId="2BB20EA4" w:rsidR="000B089B" w:rsidRPr="00520C23" w:rsidRDefault="0075155C" w:rsidP="009437DC">
            <w:pPr>
              <w:pStyle w:val="ListParagraph"/>
              <w:numPr>
                <w:ilvl w:val="0"/>
                <w:numId w:val="77"/>
              </w:numPr>
              <w:spacing w:before="120"/>
              <w:rPr>
                <w:rFonts w:cstheme="minorHAnsi"/>
                <w:i/>
                <w:iCs/>
              </w:rPr>
            </w:pPr>
            <w:r w:rsidRPr="00520C23">
              <w:rPr>
                <w:rFonts w:cstheme="minorHAnsi"/>
                <w:i/>
                <w:iCs/>
              </w:rPr>
              <w:t xml:space="preserve">in other circumstances during well life cycle activities when a risk assessment demonstrates that the same level of risk can be achieved as if two verified barriers were in place. </w:t>
            </w:r>
          </w:p>
          <w:p w14:paraId="6D418C88" w14:textId="77777777" w:rsidR="000B089B" w:rsidRPr="00520C23" w:rsidRDefault="000B089B" w:rsidP="009279B0">
            <w:pPr>
              <w:spacing w:before="120"/>
              <w:rPr>
                <w:rFonts w:cstheme="minorHAnsi"/>
                <w:b/>
              </w:rPr>
            </w:pPr>
            <w:r w:rsidRPr="00520C23">
              <w:rPr>
                <w:rFonts w:cstheme="minorHAnsi"/>
                <w:b/>
              </w:rPr>
              <w:t>Schedule</w:t>
            </w:r>
          </w:p>
          <w:p w14:paraId="06B92509" w14:textId="77777777" w:rsidR="000B089B" w:rsidRPr="00520C23" w:rsidRDefault="000B089B" w:rsidP="009279B0">
            <w:pPr>
              <w:spacing w:before="120"/>
              <w:rPr>
                <w:rFonts w:cstheme="minorHAnsi"/>
                <w:u w:val="single"/>
              </w:rPr>
            </w:pPr>
            <w:r w:rsidRPr="00520C23">
              <w:rPr>
                <w:rFonts w:cstheme="minorHAnsi"/>
                <w:u w:val="single"/>
              </w:rPr>
              <w:t>301c Contents of well operations management plan</w:t>
            </w:r>
          </w:p>
          <w:p w14:paraId="07CE85D7" w14:textId="77777777" w:rsidR="000B089B" w:rsidRPr="00520C23" w:rsidRDefault="000B089B" w:rsidP="009437DC">
            <w:pPr>
              <w:numPr>
                <w:ilvl w:val="0"/>
                <w:numId w:val="31"/>
              </w:numPr>
              <w:spacing w:before="120"/>
              <w:rPr>
                <w:rFonts w:cstheme="minorHAnsi"/>
                <w:i/>
                <w:iCs/>
              </w:rPr>
            </w:pPr>
            <w:r w:rsidRPr="00520C23">
              <w:rPr>
                <w:rFonts w:cstheme="minorHAnsi"/>
                <w:i/>
                <w:iCs/>
              </w:rPr>
              <w:t>The matters that must be included in a well operations management plan are as follows:</w:t>
            </w:r>
          </w:p>
          <w:p w14:paraId="18F14C18"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well, and the well activities relating to the well, to which the plan applies;</w:t>
            </w:r>
          </w:p>
          <w:p w14:paraId="7C00F707"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risk management process used to identify and assess risks to the integrity of the well;</w:t>
            </w:r>
          </w:p>
          <w:p w14:paraId="4C11BE3B" w14:textId="77777777" w:rsidR="000B089B" w:rsidRPr="00520C23" w:rsidRDefault="000B089B" w:rsidP="009437DC">
            <w:pPr>
              <w:numPr>
                <w:ilvl w:val="1"/>
                <w:numId w:val="31"/>
              </w:numPr>
              <w:spacing w:before="120"/>
              <w:rPr>
                <w:rFonts w:cstheme="minorHAnsi"/>
                <w:i/>
                <w:iCs/>
              </w:rPr>
            </w:pPr>
            <w:r w:rsidRPr="00520C23">
              <w:rPr>
                <w:rFonts w:cstheme="minorHAnsi"/>
                <w:i/>
                <w:iCs/>
              </w:rPr>
              <w:t xml:space="preserve">A description and explanation of the design, construction, operation and management of the well, and conduct of </w:t>
            </w:r>
            <w:r w:rsidRPr="00520C23">
              <w:rPr>
                <w:rFonts w:cstheme="minorHAnsi"/>
                <w:i/>
                <w:iCs/>
              </w:rPr>
              <w:lastRenderedPageBreak/>
              <w:t>well activities, showing how risks to the integrity of the well will be reduced to as low as reasonably practicable;</w:t>
            </w:r>
          </w:p>
          <w:p w14:paraId="5FBBAC7B" w14:textId="77777777" w:rsidR="000B089B" w:rsidRPr="00520C23" w:rsidRDefault="000B089B" w:rsidP="009279B0">
            <w:pPr>
              <w:spacing w:before="120"/>
              <w:rPr>
                <w:rFonts w:cstheme="minorHAnsi"/>
              </w:rPr>
            </w:pPr>
            <w:r w:rsidRPr="00520C23">
              <w:rPr>
                <w:rFonts w:cstheme="minorHAnsi"/>
              </w:rPr>
              <w:t>NOTE: A separate well plan summary, detailing the location of all known faults and geo-hazards, must be submitted for uploading on the Department’s website.</w:t>
            </w:r>
          </w:p>
          <w:p w14:paraId="3DD4DCBA"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performance outcomes against which the performance of the titleholder in maintaining the integrity of the well is to be measured;</w:t>
            </w:r>
          </w:p>
          <w:p w14:paraId="2A249095"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control measures that will be in place to ensure that the risks to the integrity of the well will be reduced to as low as reasonably practicable throughout the life of the well, including periods when the well is not operational (dormant) but has not been permanently decommissioned;</w:t>
            </w:r>
          </w:p>
          <w:p w14:paraId="57CB62C5"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performance standards for the control measures identified under paragraph (e);</w:t>
            </w:r>
          </w:p>
          <w:p w14:paraId="3098F3B6" w14:textId="77777777" w:rsidR="000B089B" w:rsidRPr="00520C23" w:rsidRDefault="000B089B" w:rsidP="009437DC">
            <w:pPr>
              <w:numPr>
                <w:ilvl w:val="1"/>
                <w:numId w:val="31"/>
              </w:numPr>
              <w:spacing w:before="120"/>
              <w:rPr>
                <w:rFonts w:cstheme="minorHAnsi"/>
                <w:i/>
                <w:iCs/>
              </w:rPr>
            </w:pPr>
            <w:r w:rsidRPr="00520C23">
              <w:rPr>
                <w:rFonts w:cstheme="minorHAnsi"/>
                <w:i/>
                <w:iCs/>
              </w:rPr>
              <w:t>The measurement criteria that will be used to determine whether the performance outcomes identified under paragraph (d) and the performance standards under paragraph (f) are being met;</w:t>
            </w:r>
          </w:p>
          <w:p w14:paraId="76CA6647" w14:textId="77777777" w:rsidR="000B089B" w:rsidRPr="00520C23" w:rsidRDefault="000B089B" w:rsidP="009437DC">
            <w:pPr>
              <w:numPr>
                <w:ilvl w:val="1"/>
                <w:numId w:val="31"/>
              </w:numPr>
              <w:spacing w:before="120"/>
              <w:rPr>
                <w:rFonts w:cstheme="minorHAnsi"/>
                <w:i/>
                <w:iCs/>
              </w:rPr>
            </w:pPr>
            <w:r w:rsidRPr="00520C23">
              <w:rPr>
                <w:rFonts w:cstheme="minorHAnsi"/>
                <w:i/>
                <w:iCs/>
              </w:rPr>
              <w:t xml:space="preserve">A description of the monitoring, audit and well integrity assurance processes that will be implemented to ensure the performance outcomes and performance standards are being met throughout the life of the well including periods when the well is not operational (dormant) but has not been permanently plugged and abandoned (decommissioned). </w:t>
            </w:r>
          </w:p>
          <w:p w14:paraId="4DC2B7D7" w14:textId="77777777" w:rsidR="000B089B" w:rsidRPr="00520C23" w:rsidRDefault="000B089B" w:rsidP="009279B0">
            <w:pPr>
              <w:spacing w:before="120"/>
              <w:ind w:left="1786"/>
              <w:rPr>
                <w:rFonts w:cstheme="minorHAnsi"/>
                <w:i/>
                <w:iCs/>
              </w:rPr>
            </w:pPr>
            <w:r w:rsidRPr="00520C23">
              <w:rPr>
                <w:rFonts w:cstheme="minorHAnsi"/>
                <w:i/>
                <w:iCs/>
              </w:rPr>
              <w:t>…</w:t>
            </w:r>
          </w:p>
          <w:p w14:paraId="42138B4C"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measures and arrangements that will be in place for the suspension and abandonment of the well, showing:</w:t>
            </w:r>
          </w:p>
          <w:p w14:paraId="02D3B46F" w14:textId="77777777" w:rsidR="000B089B" w:rsidRPr="00520C23" w:rsidRDefault="000B089B" w:rsidP="009437DC">
            <w:pPr>
              <w:numPr>
                <w:ilvl w:val="0"/>
                <w:numId w:val="32"/>
              </w:numPr>
              <w:spacing w:before="120"/>
              <w:rPr>
                <w:rFonts w:cstheme="minorHAnsi"/>
                <w:i/>
                <w:iCs/>
              </w:rPr>
            </w:pPr>
            <w:r w:rsidRPr="00520C23">
              <w:rPr>
                <w:rFonts w:cstheme="minorHAnsi"/>
                <w:i/>
                <w:iCs/>
              </w:rPr>
              <w:t xml:space="preserve">How, during the process of suspending or abandoning the well, risks to the integrity of the well will be reduced to as low as reasonably practicable; and </w:t>
            </w:r>
          </w:p>
          <w:p w14:paraId="0EBDC74A" w14:textId="77777777" w:rsidR="000B089B" w:rsidRPr="00520C23" w:rsidRDefault="000B089B" w:rsidP="009437DC">
            <w:pPr>
              <w:numPr>
                <w:ilvl w:val="0"/>
                <w:numId w:val="32"/>
              </w:numPr>
              <w:spacing w:before="120"/>
              <w:rPr>
                <w:rFonts w:cstheme="minorHAnsi"/>
                <w:i/>
                <w:iCs/>
              </w:rPr>
            </w:pPr>
            <w:r w:rsidRPr="00520C23">
              <w:rPr>
                <w:rFonts w:cstheme="minorHAnsi"/>
                <w:i/>
                <w:iCs/>
              </w:rPr>
              <w:lastRenderedPageBreak/>
              <w:t>How the actions taken during that process will ensure that the integrity of the well is maintained while the well is suspended or abandoned;</w:t>
            </w:r>
          </w:p>
          <w:p w14:paraId="219327DF" w14:textId="77777777" w:rsidR="000B089B" w:rsidRPr="00520C23" w:rsidRDefault="000B089B" w:rsidP="009437DC">
            <w:pPr>
              <w:numPr>
                <w:ilvl w:val="1"/>
                <w:numId w:val="31"/>
              </w:numPr>
              <w:spacing w:before="120"/>
              <w:rPr>
                <w:rFonts w:cstheme="minorHAnsi"/>
                <w:i/>
                <w:iCs/>
              </w:rPr>
            </w:pPr>
            <w:r w:rsidRPr="00520C23">
              <w:rPr>
                <w:rFonts w:cstheme="minorHAnsi"/>
                <w:i/>
                <w:iCs/>
              </w:rPr>
              <w:t>a description of the measures and arrangements that will be used to ensure that contractors and service providers undertaking well activities are aware of their responsibilities in relation to the maintenance of the integrity of the well, and have appropriate competencies and training;</w:t>
            </w:r>
          </w:p>
          <w:p w14:paraId="256D5328" w14:textId="77777777" w:rsidR="000B089B" w:rsidRPr="00520C23" w:rsidRDefault="000B089B" w:rsidP="009437DC">
            <w:pPr>
              <w:numPr>
                <w:ilvl w:val="1"/>
                <w:numId w:val="31"/>
              </w:numPr>
              <w:spacing w:before="120"/>
              <w:rPr>
                <w:rFonts w:cstheme="minorHAnsi"/>
                <w:i/>
                <w:iCs/>
              </w:rPr>
            </w:pPr>
            <w:r w:rsidRPr="00520C23">
              <w:rPr>
                <w:rFonts w:cstheme="minorHAnsi"/>
                <w:i/>
                <w:iCs/>
              </w:rPr>
              <w:t xml:space="preserve">description of the measures and arrangements that will be used to regain control of the well if there is a loss of containment; </w:t>
            </w:r>
          </w:p>
          <w:p w14:paraId="6E1BE165" w14:textId="77777777" w:rsidR="000B089B" w:rsidRPr="00520C23" w:rsidRDefault="000B089B" w:rsidP="009437DC">
            <w:pPr>
              <w:numPr>
                <w:ilvl w:val="1"/>
                <w:numId w:val="31"/>
              </w:numPr>
              <w:spacing w:before="120"/>
              <w:rPr>
                <w:rFonts w:cstheme="minorHAnsi"/>
                <w:i/>
                <w:iCs/>
              </w:rPr>
            </w:pPr>
            <w:r w:rsidRPr="00520C23">
              <w:rPr>
                <w:rFonts w:cstheme="minorHAnsi"/>
                <w:i/>
                <w:iCs/>
              </w:rPr>
              <w:t>a timetable for carrying out and completing the well activities to which the plan applies.</w:t>
            </w:r>
          </w:p>
          <w:p w14:paraId="3EA2E4EA" w14:textId="118CDBEA" w:rsidR="000B089B" w:rsidRPr="00520C23" w:rsidRDefault="000B089B" w:rsidP="009437DC">
            <w:pPr>
              <w:numPr>
                <w:ilvl w:val="1"/>
                <w:numId w:val="31"/>
              </w:numPr>
              <w:spacing w:before="120"/>
              <w:rPr>
                <w:rFonts w:cstheme="minorHAnsi"/>
                <w:i/>
                <w:iCs/>
              </w:rPr>
            </w:pPr>
            <w:r w:rsidRPr="00520C23">
              <w:rPr>
                <w:rFonts w:cstheme="minorHAnsi"/>
                <w:i/>
                <w:iCs/>
              </w:rPr>
              <w:t>a tabulated summary referencing where the specific requirements of</w:t>
            </w:r>
            <w:r w:rsidR="00B13284" w:rsidRPr="00520C23">
              <w:rPr>
                <w:rFonts w:cstheme="minorHAnsi"/>
                <w:i/>
                <w:iCs/>
              </w:rPr>
              <w:t xml:space="preserve"> </w:t>
            </w:r>
            <w:r w:rsidRPr="00520C23">
              <w:rPr>
                <w:rFonts w:cstheme="minorHAnsi"/>
                <w:i/>
                <w:iCs/>
              </w:rPr>
              <w:t xml:space="preserve">Clause 301c are addressed in the WOMP. </w:t>
            </w:r>
          </w:p>
          <w:p w14:paraId="0A34BD5A" w14:textId="46B39B7B" w:rsidR="000B089B" w:rsidRPr="00520C23" w:rsidRDefault="000B089B" w:rsidP="009437DC">
            <w:pPr>
              <w:numPr>
                <w:ilvl w:val="1"/>
                <w:numId w:val="31"/>
              </w:numPr>
              <w:spacing w:before="120"/>
              <w:rPr>
                <w:rFonts w:cstheme="minorHAnsi"/>
                <w:i/>
                <w:iCs/>
              </w:rPr>
            </w:pPr>
            <w:r w:rsidRPr="00520C23">
              <w:rPr>
                <w:rFonts w:cstheme="minorHAnsi"/>
                <w:i/>
                <w:iCs/>
              </w:rPr>
              <w:t>a tabulated summary referencing where the relevant Principles and Mandatory Requirements of the Code</w:t>
            </w:r>
            <w:r w:rsidR="005B1FF2" w:rsidRPr="00520C23">
              <w:rPr>
                <w:rFonts w:cstheme="minorHAnsi"/>
                <w:i/>
                <w:iCs/>
              </w:rPr>
              <w:t xml:space="preserve"> </w:t>
            </w:r>
            <w:r w:rsidRPr="00520C23">
              <w:rPr>
                <w:rFonts w:cstheme="minorHAnsi"/>
                <w:i/>
                <w:iCs/>
              </w:rPr>
              <w:t xml:space="preserve">are addressed in the WOMP. </w:t>
            </w:r>
          </w:p>
          <w:p w14:paraId="2450DF18" w14:textId="59E76EF3" w:rsidR="000B089B" w:rsidRPr="00520C23" w:rsidRDefault="000B089B" w:rsidP="009279B0">
            <w:pPr>
              <w:spacing w:before="120"/>
              <w:rPr>
                <w:rFonts w:cstheme="minorHAnsi"/>
                <w:i/>
                <w:iCs/>
              </w:rPr>
            </w:pPr>
            <w:r w:rsidRPr="00520C23">
              <w:rPr>
                <w:rFonts w:cstheme="minorHAnsi"/>
                <w:i/>
                <w:iCs/>
              </w:rPr>
              <w:t>(2) The Regulator may give a titleholder permission, notified in writing, not to include matters in a well operations management plan if those matters are regulated in the title.</w:t>
            </w:r>
          </w:p>
          <w:p w14:paraId="4D8B5470" w14:textId="1E984642" w:rsidR="000B089B" w:rsidRPr="00520C23" w:rsidRDefault="000B089B" w:rsidP="009279B0">
            <w:pPr>
              <w:spacing w:before="120"/>
              <w:rPr>
                <w:rFonts w:cstheme="minorHAnsi"/>
                <w:i/>
                <w:iCs/>
              </w:rPr>
            </w:pPr>
            <w:r w:rsidRPr="00520C23">
              <w:rPr>
                <w:rFonts w:cstheme="minorHAnsi"/>
                <w:i/>
                <w:iCs/>
              </w:rPr>
              <w:t>(3) A well operations management plan may include any other information that the titleholder believes is relevant.</w:t>
            </w:r>
          </w:p>
          <w:p w14:paraId="793356B6" w14:textId="588FCB45" w:rsidR="000B089B" w:rsidRPr="00520C23" w:rsidRDefault="000B089B" w:rsidP="009279B0">
            <w:pPr>
              <w:spacing w:before="120"/>
              <w:rPr>
                <w:rFonts w:cstheme="minorHAnsi"/>
                <w:u w:val="single"/>
              </w:rPr>
            </w:pPr>
          </w:p>
          <w:p w14:paraId="2B5DD235" w14:textId="44570AC0" w:rsidR="000B089B" w:rsidRPr="00520C23" w:rsidRDefault="000B089B" w:rsidP="009279B0">
            <w:pPr>
              <w:spacing w:before="120"/>
              <w:rPr>
                <w:rFonts w:cstheme="minorHAnsi"/>
              </w:rPr>
            </w:pPr>
            <w:r w:rsidRPr="00520C23">
              <w:rPr>
                <w:rFonts w:cstheme="minorHAnsi"/>
                <w:i/>
              </w:rPr>
              <w:t>See also</w:t>
            </w:r>
            <w:r w:rsidRPr="00520C23">
              <w:rPr>
                <w:rFonts w:cstheme="minorHAnsi"/>
              </w:rPr>
              <w:t xml:space="preserve">, Schedule, clause 302a, </w:t>
            </w:r>
            <w:r w:rsidR="0075155C" w:rsidRPr="00520C23">
              <w:rPr>
                <w:rFonts w:cstheme="minorHAnsi"/>
              </w:rPr>
              <w:t>as copied</w:t>
            </w:r>
            <w:r w:rsidRPr="00520C23">
              <w:rPr>
                <w:rFonts w:cstheme="minorHAnsi"/>
              </w:rPr>
              <w:t xml:space="preserve"> above in recommendation 5.3. </w:t>
            </w:r>
          </w:p>
        </w:tc>
        <w:tc>
          <w:tcPr>
            <w:tcW w:w="5310" w:type="dxa"/>
            <w:shd w:val="clear" w:color="auto" w:fill="FFF2CC" w:themeFill="accent4" w:themeFillTint="33"/>
          </w:tcPr>
          <w:p w14:paraId="6B5A091F" w14:textId="5A590BD3" w:rsidR="00DE0DE2" w:rsidRPr="00520C23" w:rsidRDefault="00DE0DE2" w:rsidP="00DE0DE2">
            <w:pPr>
              <w:spacing w:before="120"/>
              <w:rPr>
                <w:rFonts w:cstheme="minorHAnsi"/>
                <w:iCs/>
              </w:rPr>
            </w:pPr>
            <w:r w:rsidRPr="00520C23">
              <w:rPr>
                <w:rFonts w:cstheme="minorHAnsi"/>
                <w:b/>
                <w:bCs/>
                <w:iCs/>
              </w:rPr>
              <w:lastRenderedPageBreak/>
              <w:t>More expertise is needed</w:t>
            </w:r>
            <w:r w:rsidRPr="00520C23">
              <w:rPr>
                <w:rFonts w:cstheme="minorHAnsi"/>
                <w:iCs/>
              </w:rPr>
              <w:t xml:space="preserve"> to assess whether the Code adequately </w:t>
            </w:r>
            <w:r w:rsidR="00221636" w:rsidRPr="00520C23">
              <w:rPr>
                <w:rFonts w:cstheme="minorHAnsi"/>
                <w:iCs/>
              </w:rPr>
              <w:t>addresses</w:t>
            </w:r>
            <w:r w:rsidRPr="00520C23">
              <w:rPr>
                <w:rFonts w:cstheme="minorHAnsi"/>
                <w:iCs/>
              </w:rPr>
              <w:t xml:space="preserve"> recommendation 5.3. </w:t>
            </w:r>
          </w:p>
          <w:p w14:paraId="4611B279" w14:textId="0FF955B7" w:rsidR="00DE0DE2" w:rsidRPr="00520C23" w:rsidRDefault="00DE0DE2" w:rsidP="00DE0DE2">
            <w:pPr>
              <w:spacing w:before="120"/>
              <w:rPr>
                <w:rFonts w:cstheme="minorHAnsi"/>
                <w:i/>
                <w:u w:val="single"/>
              </w:rPr>
            </w:pPr>
            <w:r w:rsidRPr="00520C23">
              <w:rPr>
                <w:rFonts w:cstheme="minorHAnsi"/>
                <w:i/>
                <w:u w:val="single"/>
              </w:rPr>
              <w:t xml:space="preserve">Comments </w:t>
            </w:r>
          </w:p>
          <w:p w14:paraId="5E46B8D7" w14:textId="0D2E58CF" w:rsidR="000B089B" w:rsidRPr="00520C23" w:rsidRDefault="000B089B" w:rsidP="009437DC">
            <w:pPr>
              <w:pStyle w:val="ListParagraph"/>
              <w:numPr>
                <w:ilvl w:val="0"/>
                <w:numId w:val="11"/>
              </w:numPr>
              <w:spacing w:before="120"/>
              <w:rPr>
                <w:rFonts w:cstheme="minorHAnsi"/>
              </w:rPr>
            </w:pPr>
            <w:r w:rsidRPr="00520C23">
              <w:rPr>
                <w:rFonts w:cstheme="minorHAnsi"/>
              </w:rPr>
              <w:t xml:space="preserve">Please also see comments for recommendation 5.3. </w:t>
            </w:r>
          </w:p>
          <w:p w14:paraId="772F4B66" w14:textId="00234BBA" w:rsidR="00752877" w:rsidRPr="00520C23" w:rsidRDefault="00DE0DE2" w:rsidP="009437DC">
            <w:pPr>
              <w:pStyle w:val="ListParagraph"/>
              <w:numPr>
                <w:ilvl w:val="0"/>
                <w:numId w:val="11"/>
              </w:numPr>
              <w:spacing w:before="120"/>
              <w:rPr>
                <w:rFonts w:cstheme="minorHAnsi"/>
              </w:rPr>
            </w:pPr>
            <w:r w:rsidRPr="00520C23">
              <w:rPr>
                <w:rFonts w:cstheme="minorHAnsi"/>
              </w:rPr>
              <w:lastRenderedPageBreak/>
              <w:t>The</w:t>
            </w:r>
            <w:r w:rsidR="00054FE6" w:rsidRPr="00520C23">
              <w:rPr>
                <w:rFonts w:cstheme="minorHAnsi"/>
              </w:rPr>
              <w:t xml:space="preserve"> details and exceptions</w:t>
            </w:r>
            <w:r w:rsidRPr="00520C23">
              <w:rPr>
                <w:rFonts w:cstheme="minorHAnsi"/>
              </w:rPr>
              <w:t xml:space="preserve"> to the recommendation</w:t>
            </w:r>
            <w:r w:rsidR="00054FE6" w:rsidRPr="00520C23">
              <w:rPr>
                <w:rFonts w:cstheme="minorHAnsi"/>
              </w:rPr>
              <w:t xml:space="preserve"> are quite technical and would require </w:t>
            </w:r>
            <w:r w:rsidR="00E51F9C" w:rsidRPr="00520C23">
              <w:rPr>
                <w:rFonts w:cstheme="minorHAnsi"/>
              </w:rPr>
              <w:t xml:space="preserve">assessment by an expert in </w:t>
            </w:r>
            <w:r w:rsidR="00B87799" w:rsidRPr="00520C23">
              <w:rPr>
                <w:rFonts w:cstheme="minorHAnsi"/>
              </w:rPr>
              <w:t>well mechanics</w:t>
            </w:r>
            <w:r w:rsidR="00E51F9C" w:rsidRPr="00520C23">
              <w:rPr>
                <w:rFonts w:cstheme="minorHAnsi"/>
              </w:rPr>
              <w:t xml:space="preserve">. </w:t>
            </w:r>
          </w:p>
          <w:p w14:paraId="7852FF8B" w14:textId="08B4E658" w:rsidR="000B089B" w:rsidRPr="00520C23" w:rsidRDefault="00752877" w:rsidP="009437DC">
            <w:pPr>
              <w:pStyle w:val="ListParagraph"/>
              <w:numPr>
                <w:ilvl w:val="0"/>
                <w:numId w:val="11"/>
              </w:numPr>
              <w:spacing w:before="120"/>
              <w:rPr>
                <w:rFonts w:cstheme="minorHAnsi"/>
              </w:rPr>
            </w:pPr>
            <w:r w:rsidRPr="00520C23">
              <w:rPr>
                <w:rFonts w:cstheme="minorHAnsi"/>
              </w:rPr>
              <w:t xml:space="preserve">Thus, </w:t>
            </w:r>
            <w:r w:rsidR="000B089B" w:rsidRPr="00520C23">
              <w:rPr>
                <w:rFonts w:cstheme="minorHAnsi"/>
                <w:b/>
                <w:bCs/>
              </w:rPr>
              <w:t xml:space="preserve">an expert </w:t>
            </w:r>
            <w:r w:rsidR="00BC5A18">
              <w:rPr>
                <w:rFonts w:cstheme="minorHAnsi"/>
                <w:b/>
                <w:bCs/>
              </w:rPr>
              <w:t xml:space="preserve">should </w:t>
            </w:r>
            <w:r w:rsidR="000B089B" w:rsidRPr="00520C23">
              <w:rPr>
                <w:rFonts w:cstheme="minorHAnsi"/>
                <w:b/>
                <w:bCs/>
              </w:rPr>
              <w:t>be retained to determine whether the technical requirements of the</w:t>
            </w:r>
            <w:r w:rsidR="006F0770" w:rsidRPr="00520C23">
              <w:rPr>
                <w:rFonts w:cstheme="minorHAnsi"/>
                <w:b/>
                <w:bCs/>
              </w:rPr>
              <w:t xml:space="preserve"> </w:t>
            </w:r>
            <w:r w:rsidR="000B089B" w:rsidRPr="00520C23">
              <w:rPr>
                <w:rFonts w:cstheme="minorHAnsi"/>
                <w:b/>
                <w:bCs/>
              </w:rPr>
              <w:t>Code and Schedule fully implement this recommendation.</w:t>
            </w:r>
          </w:p>
          <w:p w14:paraId="0242F84E" w14:textId="004E0874" w:rsidR="004B57E6" w:rsidRPr="00520C23" w:rsidRDefault="00E51F9C" w:rsidP="009437DC">
            <w:pPr>
              <w:pStyle w:val="ListParagraph"/>
              <w:numPr>
                <w:ilvl w:val="0"/>
                <w:numId w:val="11"/>
              </w:numPr>
              <w:spacing w:before="120"/>
              <w:rPr>
                <w:rFonts w:cstheme="minorHAnsi"/>
              </w:rPr>
            </w:pPr>
            <w:r w:rsidRPr="00520C23">
              <w:rPr>
                <w:rFonts w:cstheme="minorHAnsi"/>
              </w:rPr>
              <w:t>In particular</w:t>
            </w:r>
            <w:r w:rsidR="00A80588" w:rsidRPr="00520C23">
              <w:rPr>
                <w:rFonts w:cstheme="minorHAnsi"/>
              </w:rPr>
              <w:t>, the expert could assess</w:t>
            </w:r>
            <w:r w:rsidR="00B87799" w:rsidRPr="00520C23">
              <w:rPr>
                <w:rFonts w:cstheme="minorHAnsi"/>
              </w:rPr>
              <w:t>:</w:t>
            </w:r>
            <w:r w:rsidR="00A80588" w:rsidRPr="00520C23">
              <w:rPr>
                <w:rFonts w:cstheme="minorHAnsi"/>
              </w:rPr>
              <w:t xml:space="preserve"> </w:t>
            </w:r>
          </w:p>
          <w:p w14:paraId="1F83D32D" w14:textId="21D9D610" w:rsidR="00042008" w:rsidRPr="00520C23" w:rsidRDefault="004B57E6" w:rsidP="00042DC2">
            <w:pPr>
              <w:pStyle w:val="ListParagraph"/>
              <w:spacing w:before="120"/>
              <w:ind w:left="360"/>
              <w:rPr>
                <w:rFonts w:cstheme="minorHAnsi"/>
              </w:rPr>
            </w:pPr>
            <w:r w:rsidRPr="00520C23">
              <w:rPr>
                <w:rFonts w:cstheme="minorHAnsi"/>
              </w:rPr>
              <w:t>1) Whether the “Preferred Requirements” under</w:t>
            </w:r>
            <w:r w:rsidR="00042008" w:rsidRPr="00520C23">
              <w:rPr>
                <w:rFonts w:cstheme="minorHAnsi"/>
              </w:rPr>
              <w:t xml:space="preserve"> Code</w:t>
            </w:r>
            <w:r w:rsidRPr="00520C23">
              <w:rPr>
                <w:rFonts w:cstheme="minorHAnsi"/>
              </w:rPr>
              <w:t xml:space="preserve"> B.4.3</w:t>
            </w:r>
            <w:r w:rsidR="00042008" w:rsidRPr="00520C23">
              <w:rPr>
                <w:rFonts w:cstheme="minorHAnsi"/>
              </w:rPr>
              <w:t xml:space="preserve">.3 </w:t>
            </w:r>
            <w:r w:rsidRPr="00520C23">
              <w:rPr>
                <w:rFonts w:cstheme="minorHAnsi"/>
              </w:rPr>
              <w:t xml:space="preserve"> should </w:t>
            </w:r>
            <w:r w:rsidR="00042008" w:rsidRPr="00520C23">
              <w:rPr>
                <w:rFonts w:cstheme="minorHAnsi"/>
              </w:rPr>
              <w:t>instead be “Mandatory Requirements”</w:t>
            </w:r>
            <w:r w:rsidR="00042DC2" w:rsidRPr="00520C23">
              <w:rPr>
                <w:rFonts w:cstheme="minorHAnsi"/>
              </w:rPr>
              <w:t>;</w:t>
            </w:r>
            <w:r w:rsidR="00042008" w:rsidRPr="00520C23">
              <w:rPr>
                <w:rFonts w:cstheme="minorHAnsi"/>
              </w:rPr>
              <w:t xml:space="preserve"> and </w:t>
            </w:r>
            <w:r w:rsidR="00A80588" w:rsidRPr="00520C23">
              <w:rPr>
                <w:rFonts w:cstheme="minorHAnsi"/>
              </w:rPr>
              <w:t xml:space="preserve"> </w:t>
            </w:r>
          </w:p>
          <w:p w14:paraId="06E70639" w14:textId="4DEC00B7" w:rsidR="00FE04A6" w:rsidRPr="00520C23" w:rsidRDefault="00042008" w:rsidP="00100FF7">
            <w:pPr>
              <w:pStyle w:val="ListParagraph"/>
              <w:spacing w:before="120"/>
              <w:ind w:left="360"/>
              <w:rPr>
                <w:rFonts w:cstheme="minorHAnsi"/>
              </w:rPr>
            </w:pPr>
            <w:r w:rsidRPr="00520C23">
              <w:rPr>
                <w:rFonts w:cstheme="minorHAnsi"/>
              </w:rPr>
              <w:t>2) the</w:t>
            </w:r>
            <w:r w:rsidR="00B87799" w:rsidRPr="00520C23">
              <w:rPr>
                <w:rFonts w:cstheme="minorHAnsi"/>
              </w:rPr>
              <w:t xml:space="preserve"> reasonableness and safety of the</w:t>
            </w:r>
            <w:r w:rsidRPr="00520C23">
              <w:rPr>
                <w:rFonts w:cstheme="minorHAnsi"/>
              </w:rPr>
              <w:t xml:space="preserve"> </w:t>
            </w:r>
            <w:r w:rsidR="00FE04A6" w:rsidRPr="00520C23">
              <w:rPr>
                <w:rFonts w:cstheme="minorHAnsi"/>
              </w:rPr>
              <w:t>following exception</w:t>
            </w:r>
            <w:r w:rsidR="00810478" w:rsidRPr="00520C23">
              <w:rPr>
                <w:rFonts w:cstheme="minorHAnsi"/>
              </w:rPr>
              <w:t>s</w:t>
            </w:r>
            <w:r w:rsidR="00613EC1" w:rsidRPr="00520C23">
              <w:rPr>
                <w:rFonts w:cstheme="minorHAnsi"/>
              </w:rPr>
              <w:t xml:space="preserve"> in the Code</w:t>
            </w:r>
            <w:r w:rsidR="00FE04A6" w:rsidRPr="00520C23">
              <w:rPr>
                <w:rFonts w:cstheme="minorHAnsi"/>
              </w:rPr>
              <w:t xml:space="preserve"> to </w:t>
            </w:r>
            <w:r w:rsidR="00810478" w:rsidRPr="00520C23">
              <w:rPr>
                <w:rFonts w:cstheme="minorHAnsi"/>
              </w:rPr>
              <w:t xml:space="preserve">the requirement to have two </w:t>
            </w:r>
            <w:r w:rsidR="00613EC1" w:rsidRPr="00520C23">
              <w:rPr>
                <w:rFonts w:cstheme="minorHAnsi"/>
              </w:rPr>
              <w:t>verified barriers in place</w:t>
            </w:r>
            <w:r w:rsidR="00100FF7" w:rsidRPr="00520C23">
              <w:rPr>
                <w:rFonts w:cstheme="minorHAnsi"/>
              </w:rPr>
              <w:t xml:space="preserve"> (as set out in </w:t>
            </w:r>
            <w:r w:rsidR="00A80588" w:rsidRPr="00520C23">
              <w:rPr>
                <w:rFonts w:cstheme="minorHAnsi"/>
              </w:rPr>
              <w:t>B.4.3.2</w:t>
            </w:r>
            <w:r w:rsidR="00100FF7" w:rsidRPr="00520C23">
              <w:rPr>
                <w:rFonts w:cstheme="minorHAnsi"/>
              </w:rPr>
              <w:t>).</w:t>
            </w:r>
            <w:r w:rsidR="00A80588" w:rsidRPr="00520C23">
              <w:rPr>
                <w:rFonts w:cstheme="minorHAnsi"/>
                <w:i/>
                <w:iCs/>
                <w:u w:val="single"/>
              </w:rPr>
              <w:t xml:space="preserve"> </w:t>
            </w:r>
          </w:p>
        </w:tc>
      </w:tr>
      <w:tr w:rsidR="00EA3C33" w:rsidRPr="00520C23" w14:paraId="44184762" w14:textId="77777777" w:rsidTr="00EA3C33">
        <w:tc>
          <w:tcPr>
            <w:tcW w:w="846" w:type="dxa"/>
            <w:shd w:val="clear" w:color="auto" w:fill="auto"/>
          </w:tcPr>
          <w:p w14:paraId="0C0AED2F" w14:textId="1882C1AB" w:rsidR="000B089B" w:rsidRPr="00520C23" w:rsidRDefault="000B089B" w:rsidP="006A1075">
            <w:pPr>
              <w:spacing w:before="120"/>
              <w:jc w:val="center"/>
              <w:rPr>
                <w:rFonts w:cstheme="minorHAnsi"/>
              </w:rPr>
            </w:pPr>
            <w:r w:rsidRPr="00520C23">
              <w:rPr>
                <w:rFonts w:cstheme="minorHAnsi"/>
              </w:rPr>
              <w:lastRenderedPageBreak/>
              <w:t>5.5a</w:t>
            </w:r>
          </w:p>
        </w:tc>
        <w:tc>
          <w:tcPr>
            <w:tcW w:w="4819" w:type="dxa"/>
          </w:tcPr>
          <w:p w14:paraId="37D5907B" w14:textId="77777777" w:rsidR="000B089B" w:rsidRPr="00520C23" w:rsidRDefault="000B089B" w:rsidP="004056C4">
            <w:pPr>
              <w:spacing w:before="120"/>
              <w:rPr>
                <w:rFonts w:cstheme="minorHAnsi"/>
                <w:i/>
                <w:iCs/>
              </w:rPr>
            </w:pPr>
            <w:r w:rsidRPr="00520C23">
              <w:rPr>
                <w:rFonts w:cstheme="minorHAnsi"/>
                <w:i/>
                <w:iCs/>
              </w:rPr>
              <w:t xml:space="preserve">That prior to the grant of any further exploration approvals, in consultation with the gas industry and the community, the Government </w:t>
            </w:r>
            <w:r w:rsidRPr="00520C23">
              <w:rPr>
                <w:rFonts w:cstheme="minorHAnsi"/>
                <w:b/>
                <w:bCs/>
                <w:i/>
                <w:iCs/>
              </w:rPr>
              <w:t>develops a wastewater management framework</w:t>
            </w:r>
            <w:r w:rsidRPr="00520C23">
              <w:rPr>
                <w:rFonts w:cstheme="minorHAnsi"/>
                <w:i/>
                <w:iCs/>
              </w:rPr>
              <w:t xml:space="preserve"> for any onshore shale gas industry. Consideration must be given to the likely volumes and nature of wastewaters that will be produced by the industry during the exploration and production phases. </w:t>
            </w:r>
          </w:p>
          <w:p w14:paraId="25CDB904" w14:textId="77777777" w:rsidR="000B089B" w:rsidRPr="00520C23" w:rsidRDefault="000B089B" w:rsidP="004056C4">
            <w:pPr>
              <w:spacing w:before="120"/>
              <w:rPr>
                <w:rFonts w:cstheme="minorHAnsi"/>
                <w:i/>
                <w:iCs/>
              </w:rPr>
            </w:pPr>
            <w:r w:rsidRPr="00520C23">
              <w:rPr>
                <w:rFonts w:cstheme="minorHAnsi"/>
                <w:i/>
                <w:iCs/>
              </w:rPr>
              <w:t xml:space="preserve">That the framework for managing wastewater includes an auditable chain of custody system for the transport of wastewater (including by </w:t>
            </w:r>
            <w:r w:rsidRPr="00520C23">
              <w:rPr>
                <w:rFonts w:cstheme="minorHAnsi"/>
                <w:i/>
                <w:iCs/>
              </w:rPr>
              <w:lastRenderedPageBreak/>
              <w:t>pipelines) that enables source-to-delivery tracking of wastewater.</w:t>
            </w:r>
          </w:p>
          <w:p w14:paraId="129C190F" w14:textId="77777777" w:rsidR="000B089B" w:rsidRPr="00520C23" w:rsidRDefault="000B089B" w:rsidP="006A1075">
            <w:pPr>
              <w:spacing w:before="120"/>
              <w:rPr>
                <w:rFonts w:cstheme="minorHAnsi"/>
                <w:b/>
                <w:bCs/>
                <w:i/>
                <w:iCs/>
              </w:rPr>
            </w:pPr>
            <w:r w:rsidRPr="00520C23">
              <w:rPr>
                <w:rFonts w:cstheme="minorHAnsi"/>
                <w:bCs/>
                <w:i/>
                <w:iCs/>
              </w:rPr>
              <w:t>That the absence of any treatment and disposal facilities in the NT for wastewater and brines produced by the gas industry be addressed as a matter of priority</w:t>
            </w:r>
            <w:r w:rsidRPr="00520C23">
              <w:rPr>
                <w:rFonts w:cstheme="minorHAnsi"/>
                <w:b/>
                <w:bCs/>
                <w:i/>
                <w:iCs/>
              </w:rPr>
              <w:t>.</w:t>
            </w:r>
          </w:p>
          <w:p w14:paraId="2137CBAD" w14:textId="7003DE2E" w:rsidR="000B089B" w:rsidRPr="00520C23" w:rsidRDefault="000B089B" w:rsidP="006A1075">
            <w:pPr>
              <w:spacing w:before="120"/>
              <w:rPr>
                <w:rFonts w:cstheme="minorHAnsi"/>
                <w:b/>
                <w:bCs/>
                <w:i/>
                <w:iCs/>
              </w:rPr>
            </w:pPr>
          </w:p>
          <w:p w14:paraId="17149DC5" w14:textId="3CC46EA0" w:rsidR="000B089B" w:rsidRPr="00520C23" w:rsidRDefault="000B089B" w:rsidP="00AB544B">
            <w:pPr>
              <w:spacing w:before="120"/>
              <w:rPr>
                <w:rFonts w:cstheme="minorHAnsi"/>
                <w:b/>
                <w:bCs/>
                <w:i/>
                <w:iCs/>
              </w:rPr>
            </w:pPr>
            <w:r w:rsidRPr="00520C23">
              <w:rPr>
                <w:rFonts w:cstheme="minorHAnsi"/>
                <w:i/>
                <w:iCs/>
              </w:rPr>
              <w:t>[Note that the government divided this recommendation into 5.5a – which consists of the first two paragraphs – and 5.5b – which consists of the final paragraph.]</w:t>
            </w:r>
            <w:r w:rsidR="00B13284" w:rsidRPr="00520C23">
              <w:rPr>
                <w:rFonts w:cstheme="minorHAnsi"/>
                <w:i/>
                <w:iCs/>
              </w:rPr>
              <w:t xml:space="preserve"> </w:t>
            </w:r>
          </w:p>
        </w:tc>
        <w:tc>
          <w:tcPr>
            <w:tcW w:w="5760" w:type="dxa"/>
          </w:tcPr>
          <w:p w14:paraId="416FD57F" w14:textId="0707F67D" w:rsidR="000B089B" w:rsidRPr="00520C23" w:rsidRDefault="59F4949B" w:rsidP="00AB544B">
            <w:pPr>
              <w:spacing w:before="120"/>
              <w:rPr>
                <w:rFonts w:ascii="Calibri" w:eastAsia="Calibri" w:hAnsi="Calibri" w:cs="Calibri"/>
                <w:color w:val="313131"/>
              </w:rPr>
            </w:pPr>
            <w:r w:rsidRPr="00520C23">
              <w:rPr>
                <w:rFonts w:ascii="Calibri" w:eastAsia="Calibri" w:hAnsi="Calibri" w:cs="Calibri"/>
                <w:color w:val="313131"/>
              </w:rPr>
              <w:lastRenderedPageBreak/>
              <w:t>The mandatory Code of Practice addresses waste water management requirements which allowed exploration to recommence in mid-2019.</w:t>
            </w:r>
          </w:p>
        </w:tc>
        <w:tc>
          <w:tcPr>
            <w:tcW w:w="5670" w:type="dxa"/>
          </w:tcPr>
          <w:p w14:paraId="18F9B20B" w14:textId="601D63AA" w:rsidR="000B089B" w:rsidRPr="00520C23" w:rsidRDefault="000B089B" w:rsidP="004056C4">
            <w:pPr>
              <w:spacing w:before="120"/>
              <w:rPr>
                <w:rFonts w:cstheme="minorHAnsi"/>
              </w:rPr>
            </w:pPr>
            <w:r w:rsidRPr="00520C23">
              <w:rPr>
                <w:rFonts w:cstheme="minorHAnsi"/>
              </w:rPr>
              <w:t>This recommendation should be implemented in its entirety before exploration permits are granted, as per the Inquiry.</w:t>
            </w:r>
            <w:r w:rsidR="00B13284" w:rsidRPr="00520C23">
              <w:rPr>
                <w:rFonts w:cstheme="minorHAnsi"/>
              </w:rPr>
              <w:t xml:space="preserve"> </w:t>
            </w:r>
            <w:r w:rsidRPr="00520C23">
              <w:rPr>
                <w:rFonts w:cstheme="minorHAnsi"/>
              </w:rPr>
              <w:t>However, the government has divided this into two recommendations (5.5a and 5.5b).</w:t>
            </w:r>
            <w:r w:rsidR="00B13284" w:rsidRPr="00520C23">
              <w:rPr>
                <w:rFonts w:cstheme="minorHAnsi"/>
              </w:rPr>
              <w:t xml:space="preserve"> </w:t>
            </w:r>
            <w:r w:rsidRPr="00520C23">
              <w:rPr>
                <w:rFonts w:cstheme="minorHAnsi"/>
              </w:rPr>
              <w:t>According to the government, 5.5a includes the first two paragraphs of 5.5, whilst 5.5b includes the final paragraph.</w:t>
            </w:r>
            <w:r w:rsidR="00B13284" w:rsidRPr="00520C23">
              <w:rPr>
                <w:rFonts w:cstheme="minorHAnsi"/>
              </w:rPr>
              <w:t xml:space="preserve"> </w:t>
            </w:r>
            <w:r w:rsidRPr="00520C23">
              <w:rPr>
                <w:rFonts w:cstheme="minorHAnsi"/>
              </w:rPr>
              <w:t>The government sa</w:t>
            </w:r>
            <w:r w:rsidR="00317B6D">
              <w:rPr>
                <w:rFonts w:cstheme="minorHAnsi"/>
              </w:rPr>
              <w:t>id</w:t>
            </w:r>
            <w:r w:rsidRPr="00520C23">
              <w:rPr>
                <w:rFonts w:cstheme="minorHAnsi"/>
              </w:rPr>
              <w:t xml:space="preserve"> it w</w:t>
            </w:r>
            <w:r w:rsidR="00317B6D">
              <w:rPr>
                <w:rFonts w:cstheme="minorHAnsi"/>
              </w:rPr>
              <w:t>ould</w:t>
            </w:r>
            <w:r w:rsidRPr="00520C23">
              <w:rPr>
                <w:rFonts w:cstheme="minorHAnsi"/>
              </w:rPr>
              <w:t xml:space="preserve"> implement 5.5b by December 202</w:t>
            </w:r>
            <w:r w:rsidR="00317B6D">
              <w:rPr>
                <w:rFonts w:cstheme="minorHAnsi"/>
              </w:rPr>
              <w:t>2</w:t>
            </w:r>
            <w:r w:rsidRPr="00520C23">
              <w:rPr>
                <w:rFonts w:cstheme="minorHAnsi"/>
              </w:rPr>
              <w:t xml:space="preserve">. </w:t>
            </w:r>
          </w:p>
          <w:p w14:paraId="147F5DAF" w14:textId="3397D871" w:rsidR="00C849AC" w:rsidRPr="00520C23" w:rsidRDefault="00C849AC" w:rsidP="004056C4">
            <w:pPr>
              <w:spacing w:before="120"/>
              <w:rPr>
                <w:rFonts w:cstheme="minorHAnsi"/>
                <w:b/>
              </w:rPr>
            </w:pPr>
            <w:r w:rsidRPr="00520C23">
              <w:rPr>
                <w:rFonts w:cstheme="minorHAnsi"/>
                <w:b/>
              </w:rPr>
              <w:t>In order to address 5.5a, the following has been included in the Code of Practice.</w:t>
            </w:r>
          </w:p>
          <w:p w14:paraId="25FD66F6" w14:textId="5D0A9106" w:rsidR="00C849AC" w:rsidRPr="00520C23" w:rsidRDefault="000B089B" w:rsidP="004056C4">
            <w:pPr>
              <w:spacing w:before="120"/>
              <w:rPr>
                <w:rFonts w:cstheme="minorHAnsi"/>
                <w:b/>
              </w:rPr>
            </w:pPr>
            <w:r w:rsidRPr="00520C23">
              <w:rPr>
                <w:rFonts w:cstheme="minorHAnsi"/>
                <w:b/>
              </w:rPr>
              <w:t>Code of Practice</w:t>
            </w:r>
          </w:p>
          <w:p w14:paraId="43ACD5F6" w14:textId="77777777" w:rsidR="000B089B" w:rsidRPr="00520C23" w:rsidRDefault="000B089B" w:rsidP="00D62EF0">
            <w:pPr>
              <w:spacing w:before="120"/>
              <w:rPr>
                <w:rFonts w:cstheme="minorHAnsi"/>
                <w:u w:val="single"/>
              </w:rPr>
            </w:pPr>
            <w:r w:rsidRPr="00520C23">
              <w:rPr>
                <w:rFonts w:cstheme="minorHAnsi"/>
                <w:u w:val="single"/>
              </w:rPr>
              <w:t>C.3 Wastewater management framework</w:t>
            </w:r>
          </w:p>
          <w:p w14:paraId="11FB34DB" w14:textId="70DDAD55" w:rsidR="000B089B" w:rsidRPr="00520C23" w:rsidRDefault="000B089B" w:rsidP="00D62EF0">
            <w:pPr>
              <w:spacing w:before="120"/>
              <w:rPr>
                <w:rFonts w:cstheme="minorHAnsi"/>
                <w:i/>
                <w:iCs/>
              </w:rPr>
            </w:pPr>
            <w:r w:rsidRPr="00520C23">
              <w:rPr>
                <w:rFonts w:cstheme="minorHAnsi"/>
                <w:i/>
                <w:iCs/>
              </w:rPr>
              <w:lastRenderedPageBreak/>
              <w:t xml:space="preserve">… The components of the wastewater management framework … include: </w:t>
            </w:r>
          </w:p>
          <w:p w14:paraId="6D2771F3" w14:textId="77777777" w:rsidR="000B089B" w:rsidRPr="00520C23" w:rsidRDefault="000B089B" w:rsidP="00D62EF0">
            <w:pPr>
              <w:spacing w:before="120"/>
              <w:rPr>
                <w:rFonts w:cstheme="minorHAnsi"/>
                <w:i/>
                <w:iCs/>
              </w:rPr>
            </w:pPr>
            <w:r w:rsidRPr="00520C23">
              <w:rPr>
                <w:rFonts w:cstheme="minorHAnsi"/>
                <w:i/>
                <w:iCs/>
              </w:rPr>
              <w:t xml:space="preserve">(a) Estimate the quantities and quality of water and wastewater from the petroleum activity. </w:t>
            </w:r>
          </w:p>
          <w:p w14:paraId="1D4B608E" w14:textId="77777777" w:rsidR="000B089B" w:rsidRPr="00520C23" w:rsidRDefault="000B089B" w:rsidP="00D62EF0">
            <w:pPr>
              <w:spacing w:before="120"/>
              <w:rPr>
                <w:rFonts w:cstheme="minorHAnsi"/>
                <w:i/>
                <w:iCs/>
              </w:rPr>
            </w:pPr>
            <w:r w:rsidRPr="00520C23">
              <w:rPr>
                <w:rFonts w:cstheme="minorHAnsi"/>
                <w:i/>
                <w:iCs/>
              </w:rPr>
              <w:t xml:space="preserve">(b) Define the methods and approaches that will be used to store, treat, and reuse water and ultimately dispose of wastewater, including what activities will be undertaken at the site of the approved petroleum activity. </w:t>
            </w:r>
          </w:p>
          <w:p w14:paraId="6FC3E300" w14:textId="77777777" w:rsidR="000B089B" w:rsidRPr="00520C23" w:rsidRDefault="000B089B" w:rsidP="00D62EF0">
            <w:pPr>
              <w:spacing w:before="120"/>
              <w:rPr>
                <w:rFonts w:cstheme="minorHAnsi"/>
                <w:i/>
                <w:iCs/>
              </w:rPr>
            </w:pPr>
            <w:r w:rsidRPr="00520C23">
              <w:rPr>
                <w:rFonts w:cstheme="minorHAnsi"/>
                <w:i/>
                <w:iCs/>
              </w:rPr>
              <w:t xml:space="preserve">(c) Estimate the quantities and quality of wastewater, or wastewater derived solids that will be removed from the petroleum site. </w:t>
            </w:r>
          </w:p>
          <w:p w14:paraId="48E878C7" w14:textId="77777777" w:rsidR="000B089B" w:rsidRPr="00520C23" w:rsidRDefault="000B089B" w:rsidP="00D62EF0">
            <w:pPr>
              <w:spacing w:before="120"/>
              <w:rPr>
                <w:rFonts w:cstheme="minorHAnsi"/>
                <w:i/>
                <w:iCs/>
              </w:rPr>
            </w:pPr>
            <w:r w:rsidRPr="00520C23">
              <w:rPr>
                <w:rFonts w:cstheme="minorHAnsi"/>
                <w:i/>
                <w:iCs/>
              </w:rPr>
              <w:t xml:space="preserve">(d) Provide for the relevant activities and the environmental risks and environmental impacts they involve in a </w:t>
            </w:r>
            <w:r w:rsidRPr="00520C23">
              <w:rPr>
                <w:rFonts w:cstheme="minorHAnsi"/>
                <w:b/>
                <w:bCs/>
                <w:i/>
                <w:iCs/>
              </w:rPr>
              <w:t xml:space="preserve">Wastewater Management Plan </w:t>
            </w:r>
            <w:r w:rsidRPr="00520C23">
              <w:rPr>
                <w:rFonts w:cstheme="minorHAnsi"/>
                <w:i/>
                <w:iCs/>
              </w:rPr>
              <w:t xml:space="preserve">(WWMP) and a </w:t>
            </w:r>
            <w:r w:rsidRPr="00520C23">
              <w:rPr>
                <w:rFonts w:cstheme="minorHAnsi"/>
                <w:b/>
                <w:bCs/>
                <w:i/>
                <w:iCs/>
              </w:rPr>
              <w:t xml:space="preserve">Spill Management Plan </w:t>
            </w:r>
            <w:r w:rsidRPr="00520C23">
              <w:rPr>
                <w:rFonts w:cstheme="minorHAnsi"/>
                <w:i/>
                <w:iCs/>
              </w:rPr>
              <w:t xml:space="preserve">(SMP), as part of the EMP. </w:t>
            </w:r>
          </w:p>
          <w:p w14:paraId="2910D31A" w14:textId="034F9530" w:rsidR="000B089B" w:rsidRPr="00520C23" w:rsidRDefault="000B089B" w:rsidP="004056C4">
            <w:pPr>
              <w:spacing w:before="120"/>
              <w:rPr>
                <w:rFonts w:cstheme="minorHAnsi"/>
                <w:i/>
                <w:iCs/>
              </w:rPr>
            </w:pPr>
            <w:r w:rsidRPr="00520C23">
              <w:rPr>
                <w:rFonts w:cstheme="minorHAnsi"/>
                <w:i/>
                <w:iCs/>
              </w:rPr>
              <w:t xml:space="preserve">(e) Monitor, manage and report in accordance with the WWMP and SMP. </w:t>
            </w:r>
          </w:p>
          <w:p w14:paraId="1F1AF6EE" w14:textId="77777777" w:rsidR="000B089B" w:rsidRPr="00520C23" w:rsidRDefault="000B089B" w:rsidP="004056C4">
            <w:pPr>
              <w:spacing w:before="120"/>
              <w:rPr>
                <w:rFonts w:cstheme="minorHAnsi"/>
              </w:rPr>
            </w:pPr>
          </w:p>
          <w:p w14:paraId="635C8C80" w14:textId="7829F654" w:rsidR="000B089B" w:rsidRPr="00520C23" w:rsidRDefault="000B089B" w:rsidP="004C10E3">
            <w:pPr>
              <w:spacing w:before="120"/>
              <w:rPr>
                <w:rFonts w:cstheme="minorHAnsi"/>
                <w:u w:val="single"/>
              </w:rPr>
            </w:pPr>
            <w:r w:rsidRPr="00520C23">
              <w:rPr>
                <w:rFonts w:cstheme="minorHAnsi"/>
                <w:u w:val="single"/>
              </w:rPr>
              <w:t>C.3.1 Waste management hierarchy</w:t>
            </w:r>
          </w:p>
          <w:p w14:paraId="2185BD9D" w14:textId="3F310570" w:rsidR="000B089B" w:rsidRPr="00520C23" w:rsidRDefault="000B089B" w:rsidP="00E172C7">
            <w:pPr>
              <w:spacing w:before="120"/>
              <w:rPr>
                <w:rFonts w:cstheme="minorHAnsi"/>
                <w:i/>
                <w:iCs/>
              </w:rPr>
            </w:pPr>
            <w:r w:rsidRPr="00520C23">
              <w:rPr>
                <w:rFonts w:cstheme="minorHAnsi"/>
                <w:i/>
                <w:iCs/>
              </w:rPr>
              <w:t>… The following tiered questions can be used when identifying efficient water uses and reducing wastewater production:</w:t>
            </w:r>
          </w:p>
          <w:p w14:paraId="22C7E888" w14:textId="06B0210C" w:rsidR="000B089B" w:rsidRPr="00520C23" w:rsidRDefault="000B089B" w:rsidP="009437DC">
            <w:pPr>
              <w:numPr>
                <w:ilvl w:val="0"/>
                <w:numId w:val="14"/>
              </w:numPr>
              <w:spacing w:before="120"/>
              <w:rPr>
                <w:rFonts w:cstheme="minorHAnsi"/>
                <w:i/>
                <w:iCs/>
              </w:rPr>
            </w:pPr>
            <w:r w:rsidRPr="00520C23">
              <w:rPr>
                <w:rFonts w:cstheme="minorHAnsi"/>
                <w:i/>
                <w:iCs/>
              </w:rPr>
              <w:t xml:space="preserve">Is the generation of wastewater required or can it be avoided? </w:t>
            </w:r>
          </w:p>
          <w:p w14:paraId="6A308198" w14:textId="61F25193" w:rsidR="000B089B" w:rsidRPr="00520C23" w:rsidRDefault="000B089B" w:rsidP="009437DC">
            <w:pPr>
              <w:numPr>
                <w:ilvl w:val="0"/>
                <w:numId w:val="14"/>
              </w:numPr>
              <w:spacing w:before="120"/>
              <w:rPr>
                <w:rFonts w:cstheme="minorHAnsi"/>
                <w:i/>
                <w:iCs/>
              </w:rPr>
            </w:pPr>
            <w:r w:rsidRPr="00520C23">
              <w:rPr>
                <w:rFonts w:cstheme="minorHAnsi"/>
                <w:i/>
                <w:iCs/>
              </w:rPr>
              <w:t xml:space="preserve">Can the wastewater generating process be substituted? </w:t>
            </w:r>
          </w:p>
          <w:p w14:paraId="61E89C67" w14:textId="70EA281A" w:rsidR="000B089B" w:rsidRPr="00520C23" w:rsidRDefault="000B089B" w:rsidP="009437DC">
            <w:pPr>
              <w:numPr>
                <w:ilvl w:val="0"/>
                <w:numId w:val="14"/>
              </w:numPr>
              <w:spacing w:before="120"/>
              <w:rPr>
                <w:rFonts w:cstheme="minorHAnsi"/>
                <w:i/>
                <w:iCs/>
              </w:rPr>
            </w:pPr>
            <w:r w:rsidRPr="00520C23">
              <w:rPr>
                <w:rFonts w:cstheme="minorHAnsi"/>
                <w:i/>
                <w:iCs/>
              </w:rPr>
              <w:t xml:space="preserve">Can measures be put in place to lower the amount of wastewater generated? </w:t>
            </w:r>
          </w:p>
          <w:p w14:paraId="33C502BF" w14:textId="177D21AF" w:rsidR="000B089B" w:rsidRPr="00520C23" w:rsidRDefault="000B089B" w:rsidP="009437DC">
            <w:pPr>
              <w:numPr>
                <w:ilvl w:val="0"/>
                <w:numId w:val="14"/>
              </w:numPr>
              <w:spacing w:before="120"/>
              <w:ind w:left="720" w:hanging="720"/>
              <w:rPr>
                <w:rFonts w:cstheme="minorHAnsi"/>
                <w:i/>
                <w:iCs/>
              </w:rPr>
            </w:pPr>
            <w:r w:rsidRPr="00520C23">
              <w:rPr>
                <w:rFonts w:cstheme="minorHAnsi"/>
                <w:i/>
                <w:iCs/>
              </w:rPr>
              <w:t xml:space="preserve">Can return wastewater from a task be used, or re-employed elsewhere without treatment? </w:t>
            </w:r>
          </w:p>
          <w:p w14:paraId="28071F5F" w14:textId="33B21A21" w:rsidR="000B089B" w:rsidRPr="00520C23" w:rsidRDefault="000B089B" w:rsidP="009437DC">
            <w:pPr>
              <w:numPr>
                <w:ilvl w:val="0"/>
                <w:numId w:val="14"/>
              </w:numPr>
              <w:spacing w:before="120"/>
              <w:ind w:left="720" w:hanging="720"/>
              <w:rPr>
                <w:rFonts w:cstheme="minorHAnsi"/>
                <w:i/>
                <w:iCs/>
              </w:rPr>
            </w:pPr>
            <w:r w:rsidRPr="00520C23">
              <w:rPr>
                <w:rFonts w:cstheme="minorHAnsi"/>
                <w:i/>
                <w:iCs/>
              </w:rPr>
              <w:t xml:space="preserve">Is it technically, economically and environmentally feasible to return wastewater for reuse following treatment? </w:t>
            </w:r>
          </w:p>
          <w:p w14:paraId="344B4C04" w14:textId="1B0104F5" w:rsidR="000B089B" w:rsidRPr="00520C23" w:rsidRDefault="000B089B" w:rsidP="009437DC">
            <w:pPr>
              <w:numPr>
                <w:ilvl w:val="0"/>
                <w:numId w:val="14"/>
              </w:numPr>
              <w:spacing w:before="120"/>
              <w:ind w:left="720" w:hanging="720"/>
              <w:rPr>
                <w:rFonts w:cstheme="minorHAnsi"/>
                <w:i/>
                <w:iCs/>
              </w:rPr>
            </w:pPr>
            <w:r w:rsidRPr="00520C23">
              <w:rPr>
                <w:rFonts w:cstheme="minorHAnsi"/>
                <w:i/>
                <w:iCs/>
              </w:rPr>
              <w:t xml:space="preserve">What are the by-products of treatment (e.g. potentially concentrated waste streams of higher hazard) and how can they be managed / disposed of? </w:t>
            </w:r>
          </w:p>
          <w:p w14:paraId="35D80EB6" w14:textId="56AA68A9" w:rsidR="000B089B" w:rsidRPr="00520C23" w:rsidRDefault="000B089B" w:rsidP="009437DC">
            <w:pPr>
              <w:numPr>
                <w:ilvl w:val="0"/>
                <w:numId w:val="14"/>
              </w:numPr>
              <w:spacing w:before="120"/>
              <w:rPr>
                <w:rFonts w:cstheme="minorHAnsi"/>
                <w:i/>
                <w:iCs/>
              </w:rPr>
            </w:pPr>
            <w:r w:rsidRPr="00520C23">
              <w:rPr>
                <w:rFonts w:cstheme="minorHAnsi"/>
                <w:i/>
                <w:iCs/>
              </w:rPr>
              <w:t xml:space="preserve">How will the final wastewater be disposed of? </w:t>
            </w:r>
          </w:p>
          <w:p w14:paraId="627E0677" w14:textId="397B7AA0" w:rsidR="000B089B" w:rsidRPr="00520C23" w:rsidRDefault="000B089B" w:rsidP="00E172C7">
            <w:pPr>
              <w:spacing w:before="120"/>
              <w:rPr>
                <w:rFonts w:cstheme="minorHAnsi"/>
                <w:i/>
                <w:iCs/>
                <w:u w:val="single"/>
              </w:rPr>
            </w:pPr>
          </w:p>
          <w:p w14:paraId="3BE12367" w14:textId="09813452" w:rsidR="005C4948" w:rsidRPr="00520C23" w:rsidRDefault="00965D8F" w:rsidP="005C4948">
            <w:pPr>
              <w:spacing w:before="120"/>
              <w:rPr>
                <w:rFonts w:cstheme="minorHAnsi"/>
                <w:u w:val="single"/>
              </w:rPr>
            </w:pPr>
            <w:r w:rsidRPr="00520C23">
              <w:rPr>
                <w:rFonts w:cstheme="minorHAnsi"/>
                <w:u w:val="single"/>
              </w:rPr>
              <w:t>C.4.2</w:t>
            </w:r>
            <w:r w:rsidR="00627A4E" w:rsidRPr="00520C23">
              <w:rPr>
                <w:rFonts w:cstheme="minorHAnsi"/>
                <w:u w:val="single"/>
              </w:rPr>
              <w:t>.2</w:t>
            </w:r>
            <w:r w:rsidRPr="00520C23">
              <w:rPr>
                <w:rFonts w:cstheme="minorHAnsi"/>
                <w:u w:val="single"/>
              </w:rPr>
              <w:t xml:space="preserve"> Management of produced water and flowback fluid</w:t>
            </w:r>
            <w:r w:rsidR="005C4948" w:rsidRPr="00520C23">
              <w:rPr>
                <w:rFonts w:cstheme="minorHAnsi"/>
                <w:u w:val="single"/>
              </w:rPr>
              <w:t>, Mandatory Requirements</w:t>
            </w:r>
          </w:p>
          <w:p w14:paraId="4717F2C5" w14:textId="77777777" w:rsidR="005C4948" w:rsidRPr="00520C23" w:rsidRDefault="005C4948" w:rsidP="005C4948">
            <w:pPr>
              <w:spacing w:before="120"/>
              <w:rPr>
                <w:rFonts w:cstheme="minorHAnsi"/>
                <w:i/>
                <w:iCs/>
              </w:rPr>
            </w:pPr>
            <w:r w:rsidRPr="00520C23">
              <w:rPr>
                <w:rFonts w:cstheme="minorHAnsi"/>
                <w:i/>
                <w:iCs/>
              </w:rPr>
              <w:t xml:space="preserve">(a) All produced water and flowback fluid must be held in above-ground enclosed tanks at all times following release </w:t>
            </w:r>
            <w:r w:rsidRPr="00520C23">
              <w:rPr>
                <w:rFonts w:cstheme="minorHAnsi"/>
                <w:i/>
                <w:iCs/>
              </w:rPr>
              <w:lastRenderedPageBreak/>
              <w:t xml:space="preserve">from the petroleum well other than in the following circumstances: </w:t>
            </w:r>
          </w:p>
          <w:p w14:paraId="7CC94CEC" w14:textId="77777777" w:rsidR="005C4948" w:rsidRPr="00520C23" w:rsidRDefault="005C4948" w:rsidP="005C4948">
            <w:pPr>
              <w:spacing w:before="120"/>
              <w:ind w:left="720"/>
              <w:rPr>
                <w:rFonts w:cstheme="minorHAnsi"/>
                <w:i/>
                <w:iCs/>
              </w:rPr>
            </w:pPr>
            <w:r w:rsidRPr="00520C23">
              <w:rPr>
                <w:rFonts w:cstheme="minorHAnsi"/>
                <w:i/>
                <w:iCs/>
              </w:rPr>
              <w:t xml:space="preserve">i. it is being treated for reuse or disposal </w:t>
            </w:r>
          </w:p>
          <w:p w14:paraId="51990660" w14:textId="77777777" w:rsidR="005C4948" w:rsidRPr="00520C23" w:rsidRDefault="005C4948" w:rsidP="005C4948">
            <w:pPr>
              <w:spacing w:before="120"/>
              <w:ind w:left="720"/>
              <w:rPr>
                <w:rFonts w:cstheme="minorHAnsi"/>
                <w:i/>
                <w:iCs/>
              </w:rPr>
            </w:pPr>
            <w:r w:rsidRPr="00520C23">
              <w:rPr>
                <w:rFonts w:cstheme="minorHAnsi"/>
                <w:i/>
                <w:iCs/>
              </w:rPr>
              <w:t xml:space="preserve">ii. it is being reused as explicitly authorised in an approved wastewater management plan (see Section C.7.1) </w:t>
            </w:r>
          </w:p>
          <w:p w14:paraId="76966877" w14:textId="77777777" w:rsidR="005C4948" w:rsidRPr="00520C23" w:rsidRDefault="005C4948" w:rsidP="005C4948">
            <w:pPr>
              <w:spacing w:before="120"/>
              <w:ind w:left="720"/>
              <w:rPr>
                <w:rFonts w:cstheme="minorHAnsi"/>
                <w:i/>
                <w:iCs/>
              </w:rPr>
            </w:pPr>
            <w:r w:rsidRPr="00520C23">
              <w:rPr>
                <w:rFonts w:cstheme="minorHAnsi"/>
                <w:i/>
                <w:iCs/>
              </w:rPr>
              <w:t xml:space="preserve">iii. it is being disposed of as explicitly authorised in an approved waste management plan (see Section C.7.1) </w:t>
            </w:r>
          </w:p>
          <w:p w14:paraId="03328409" w14:textId="1B80D5B7" w:rsidR="005C4948" w:rsidRPr="00520C23" w:rsidRDefault="005C4948" w:rsidP="00FE1422">
            <w:pPr>
              <w:spacing w:before="120"/>
              <w:ind w:left="720"/>
              <w:rPr>
                <w:rFonts w:cstheme="minorHAnsi"/>
                <w:i/>
                <w:iCs/>
              </w:rPr>
            </w:pPr>
            <w:r w:rsidRPr="00520C23">
              <w:rPr>
                <w:rFonts w:cstheme="minorHAnsi"/>
                <w:i/>
                <w:iCs/>
              </w:rPr>
              <w:t>iv. it is being removed from site for lawful disposal elsewhere</w:t>
            </w:r>
            <w:r w:rsidR="0014429E" w:rsidRPr="00520C23">
              <w:rPr>
                <w:rFonts w:cstheme="minorHAnsi"/>
                <w:i/>
                <w:iCs/>
              </w:rPr>
              <w:t>…</w:t>
            </w:r>
          </w:p>
          <w:p w14:paraId="10492DAC" w14:textId="5DCC47AC" w:rsidR="00FE1422" w:rsidRPr="00520C23" w:rsidRDefault="003F7B35" w:rsidP="00FE1422">
            <w:pPr>
              <w:spacing w:before="120"/>
              <w:rPr>
                <w:rFonts w:cstheme="minorHAnsi"/>
                <w:u w:val="single"/>
              </w:rPr>
            </w:pPr>
            <w:r w:rsidRPr="00520C23">
              <w:rPr>
                <w:rFonts w:cstheme="minorHAnsi"/>
                <w:u w:val="single"/>
              </w:rPr>
              <w:t xml:space="preserve">C.4.2.3 </w:t>
            </w:r>
            <w:r w:rsidR="00FE1422" w:rsidRPr="00520C23">
              <w:rPr>
                <w:rFonts w:cstheme="minorHAnsi"/>
                <w:u w:val="single"/>
              </w:rPr>
              <w:t>Preferred requirements</w:t>
            </w:r>
          </w:p>
          <w:p w14:paraId="3F320CA8" w14:textId="7198D45B" w:rsidR="00EA2A12" w:rsidRPr="00520C23" w:rsidRDefault="00FE1422" w:rsidP="00E172C7">
            <w:pPr>
              <w:spacing w:before="120"/>
              <w:rPr>
                <w:rFonts w:cstheme="minorHAnsi"/>
                <w:i/>
                <w:iCs/>
              </w:rPr>
            </w:pPr>
            <w:r w:rsidRPr="00520C23">
              <w:rPr>
                <w:rFonts w:cstheme="minorHAnsi"/>
                <w:i/>
                <w:iCs/>
              </w:rPr>
              <w:t xml:space="preserve">(a) Recycling and re-use of all fluids should be maximised and the off-site transport and disposal of fluids should be minimised. </w:t>
            </w:r>
          </w:p>
          <w:p w14:paraId="494AB7EF" w14:textId="273C8C5F" w:rsidR="00BD0782" w:rsidRPr="00520C23" w:rsidRDefault="00BD0782" w:rsidP="00E172C7">
            <w:pPr>
              <w:spacing w:before="120"/>
              <w:rPr>
                <w:rFonts w:cstheme="minorHAnsi"/>
                <w:u w:val="single"/>
              </w:rPr>
            </w:pPr>
            <w:r w:rsidRPr="00520C23">
              <w:rPr>
                <w:rFonts w:cstheme="minorHAnsi"/>
                <w:u w:val="single"/>
              </w:rPr>
              <w:t>C.5 Monitoring mandatory requirements</w:t>
            </w:r>
          </w:p>
          <w:p w14:paraId="018CE81D" w14:textId="65A267F7" w:rsidR="0094378E" w:rsidRPr="00520C23" w:rsidRDefault="003402C9" w:rsidP="0094378E">
            <w:pPr>
              <w:spacing w:before="120"/>
              <w:rPr>
                <w:rFonts w:cstheme="minorHAnsi"/>
                <w:u w:val="single"/>
              </w:rPr>
            </w:pPr>
            <w:r w:rsidRPr="00520C23">
              <w:rPr>
                <w:rFonts w:cstheme="minorHAnsi"/>
                <w:u w:val="single"/>
              </w:rPr>
              <w:t>C.5.1 General monitoring requirements</w:t>
            </w:r>
          </w:p>
          <w:p w14:paraId="15B15643" w14:textId="77777777" w:rsidR="0094378E" w:rsidRPr="00520C23" w:rsidRDefault="0094378E" w:rsidP="0094378E">
            <w:pPr>
              <w:spacing w:before="120"/>
              <w:rPr>
                <w:rFonts w:cstheme="minorHAnsi"/>
                <w:i/>
                <w:iCs/>
              </w:rPr>
            </w:pPr>
            <w:r w:rsidRPr="00520C23">
              <w:rPr>
                <w:rFonts w:cstheme="minorHAnsi"/>
                <w:i/>
                <w:iCs/>
              </w:rPr>
              <w:t xml:space="preserve">(a) Monitoring programs must be described in the WWMP and SMP and must address the requirements in this section C.5. The WWMP and SMP must identify specific monitoring methods based on the predicted contaminants, volumes and concentrations based on chemicals used in drilling and hydraulic fracturing as well as potentially naturally occurring contaminants and radioactive materials. </w:t>
            </w:r>
          </w:p>
          <w:p w14:paraId="58E1DCB2" w14:textId="7754350F" w:rsidR="003402C9" w:rsidRPr="00520C23" w:rsidRDefault="0094378E" w:rsidP="00E172C7">
            <w:pPr>
              <w:spacing w:before="120"/>
              <w:rPr>
                <w:rFonts w:cstheme="minorHAnsi"/>
                <w:i/>
                <w:iCs/>
              </w:rPr>
            </w:pPr>
            <w:r w:rsidRPr="00520C23">
              <w:rPr>
                <w:rFonts w:cstheme="minorHAnsi"/>
                <w:i/>
                <w:iCs/>
              </w:rPr>
              <w:t xml:space="preserve">(b) The quantity and quality of all water stored on site must be monitored… </w:t>
            </w:r>
          </w:p>
          <w:p w14:paraId="460CD469" w14:textId="17CAF2BA" w:rsidR="000B089B" w:rsidRPr="00520C23" w:rsidRDefault="000B089B" w:rsidP="004056C4">
            <w:pPr>
              <w:spacing w:before="120"/>
              <w:rPr>
                <w:rFonts w:cstheme="minorHAnsi"/>
                <w:u w:val="single"/>
              </w:rPr>
            </w:pPr>
            <w:r w:rsidRPr="00520C23">
              <w:rPr>
                <w:rFonts w:cstheme="minorHAnsi"/>
                <w:u w:val="single"/>
              </w:rPr>
              <w:t xml:space="preserve">C.6.1 Water and wastewater tracking and reporting requirements </w:t>
            </w:r>
          </w:p>
          <w:p w14:paraId="766E7056" w14:textId="77777777" w:rsidR="000B089B" w:rsidRPr="00520C23" w:rsidRDefault="000B089B" w:rsidP="004056C4">
            <w:pPr>
              <w:spacing w:before="120"/>
              <w:rPr>
                <w:rFonts w:cstheme="minorHAnsi"/>
                <w:i/>
                <w:iCs/>
              </w:rPr>
            </w:pPr>
            <w:r w:rsidRPr="00520C23">
              <w:rPr>
                <w:rFonts w:cstheme="minorHAnsi"/>
                <w:i/>
                <w:iCs/>
              </w:rPr>
              <w:t>(a) The movement of water and wastewater must be tracked and include:</w:t>
            </w:r>
          </w:p>
          <w:p w14:paraId="13EB24FB" w14:textId="77777777" w:rsidR="000B089B" w:rsidRPr="00520C23" w:rsidRDefault="000B089B" w:rsidP="00E172C7">
            <w:pPr>
              <w:spacing w:before="120"/>
              <w:ind w:left="720"/>
              <w:rPr>
                <w:rFonts w:cstheme="minorHAnsi"/>
                <w:i/>
                <w:iCs/>
              </w:rPr>
            </w:pPr>
            <w:r w:rsidRPr="00520C23">
              <w:rPr>
                <w:rFonts w:cstheme="minorHAnsi"/>
                <w:i/>
                <w:iCs/>
              </w:rPr>
              <w:t xml:space="preserve">i. volumes of produced water and flowback fluid from each well; </w:t>
            </w:r>
          </w:p>
          <w:p w14:paraId="0CE2602F" w14:textId="77777777" w:rsidR="000B089B" w:rsidRPr="00520C23" w:rsidRDefault="000B089B" w:rsidP="00E172C7">
            <w:pPr>
              <w:spacing w:before="120"/>
              <w:ind w:left="720"/>
              <w:rPr>
                <w:rFonts w:cstheme="minorHAnsi"/>
                <w:i/>
                <w:iCs/>
              </w:rPr>
            </w:pPr>
            <w:r w:rsidRPr="00520C23">
              <w:rPr>
                <w:rFonts w:cstheme="minorHAnsi"/>
                <w:i/>
                <w:iCs/>
              </w:rPr>
              <w:t xml:space="preserve">ii. volumes of water transferred into each tank; </w:t>
            </w:r>
          </w:p>
          <w:p w14:paraId="5F48E19B" w14:textId="77777777" w:rsidR="000B089B" w:rsidRPr="00520C23" w:rsidRDefault="000B089B" w:rsidP="00E172C7">
            <w:pPr>
              <w:spacing w:before="120"/>
              <w:ind w:left="720"/>
              <w:rPr>
                <w:rFonts w:cstheme="minorHAnsi"/>
                <w:i/>
                <w:iCs/>
              </w:rPr>
            </w:pPr>
            <w:r w:rsidRPr="00520C23">
              <w:rPr>
                <w:rFonts w:cstheme="minorHAnsi"/>
                <w:i/>
                <w:iCs/>
              </w:rPr>
              <w:t xml:space="preserve">iii. estimates for evaporation rates from each tank; </w:t>
            </w:r>
          </w:p>
          <w:p w14:paraId="7A48353F" w14:textId="77777777" w:rsidR="000B089B" w:rsidRPr="00520C23" w:rsidRDefault="000B089B" w:rsidP="00E172C7">
            <w:pPr>
              <w:spacing w:before="120"/>
              <w:ind w:left="720"/>
              <w:rPr>
                <w:rFonts w:cstheme="minorHAnsi"/>
                <w:i/>
                <w:iCs/>
              </w:rPr>
            </w:pPr>
            <w:r w:rsidRPr="00520C23">
              <w:rPr>
                <w:rFonts w:cstheme="minorHAnsi"/>
                <w:i/>
                <w:iCs/>
              </w:rPr>
              <w:t xml:space="preserve">iv. volumes of water planned to be, and ultimately, reused in petroleum operations including drilling and hydraulic fracturing; </w:t>
            </w:r>
          </w:p>
          <w:p w14:paraId="525B4F5E" w14:textId="1400B5B9" w:rsidR="000B089B" w:rsidRPr="00520C23" w:rsidRDefault="000B089B" w:rsidP="00E172C7">
            <w:pPr>
              <w:spacing w:before="120"/>
              <w:ind w:left="720"/>
              <w:rPr>
                <w:rFonts w:cstheme="minorHAnsi"/>
                <w:i/>
                <w:iCs/>
              </w:rPr>
            </w:pPr>
            <w:r w:rsidRPr="00520C23">
              <w:rPr>
                <w:rFonts w:cstheme="minorHAnsi"/>
                <w:i/>
                <w:iCs/>
              </w:rPr>
              <w:t xml:space="preserve">v. volumes of water and wastewater used for other purposes including dust suppression and construction water; </w:t>
            </w:r>
          </w:p>
          <w:p w14:paraId="2493654F" w14:textId="77777777" w:rsidR="000B089B" w:rsidRPr="00520C23" w:rsidRDefault="000B089B" w:rsidP="00E172C7">
            <w:pPr>
              <w:spacing w:before="120"/>
              <w:ind w:left="720"/>
              <w:rPr>
                <w:rFonts w:cstheme="minorHAnsi"/>
                <w:i/>
                <w:iCs/>
              </w:rPr>
            </w:pPr>
            <w:r w:rsidRPr="00520C23">
              <w:rPr>
                <w:rFonts w:cstheme="minorHAnsi"/>
                <w:i/>
                <w:iCs/>
              </w:rPr>
              <w:t xml:space="preserve">vi. volumes of water and wastewater removed from site and its destination (whether by vehicle or pipeline) including details of the licence number of the any licensed waste transporters; and </w:t>
            </w:r>
          </w:p>
          <w:p w14:paraId="00BE65BB" w14:textId="77777777" w:rsidR="000B089B" w:rsidRPr="00520C23" w:rsidRDefault="000B089B" w:rsidP="00E172C7">
            <w:pPr>
              <w:spacing w:before="120"/>
              <w:ind w:left="720"/>
              <w:rPr>
                <w:rFonts w:cstheme="minorHAnsi"/>
                <w:i/>
                <w:iCs/>
              </w:rPr>
            </w:pPr>
            <w:r w:rsidRPr="00520C23">
              <w:rPr>
                <w:rFonts w:cstheme="minorHAnsi"/>
                <w:i/>
                <w:iCs/>
              </w:rPr>
              <w:lastRenderedPageBreak/>
              <w:t xml:space="preserve">vii. volumes of any spills of water or wastewater. </w:t>
            </w:r>
          </w:p>
          <w:p w14:paraId="07B9554F" w14:textId="77777777" w:rsidR="000B089B" w:rsidRPr="00520C23" w:rsidRDefault="000B089B" w:rsidP="004056C4">
            <w:pPr>
              <w:spacing w:before="120"/>
              <w:rPr>
                <w:rFonts w:cstheme="minorHAnsi"/>
                <w:i/>
                <w:iCs/>
              </w:rPr>
            </w:pPr>
            <w:r w:rsidRPr="00520C23">
              <w:rPr>
                <w:rFonts w:cstheme="minorHAnsi"/>
                <w:i/>
                <w:iCs/>
              </w:rPr>
              <w:t xml:space="preserve">(b) Wastewater tracking must be documented in an auditable chain of custody system. </w:t>
            </w:r>
          </w:p>
          <w:p w14:paraId="6846CD5D" w14:textId="77777777" w:rsidR="000B089B" w:rsidRPr="00520C23" w:rsidRDefault="000B089B" w:rsidP="004056C4">
            <w:pPr>
              <w:spacing w:before="120"/>
              <w:rPr>
                <w:rFonts w:cstheme="minorHAnsi"/>
                <w:i/>
                <w:iCs/>
              </w:rPr>
            </w:pPr>
            <w:r w:rsidRPr="00520C23">
              <w:rPr>
                <w:rFonts w:cstheme="minorHAnsi"/>
                <w:i/>
                <w:iCs/>
              </w:rPr>
              <w:t xml:space="preserve">(c) Wastewater tracking must be in accordance with other legislative requirements such as those imposed under the Waste Management and Pollution Control Act 1998 (NT) and the Radiation Protection Act 2004 (NT). </w:t>
            </w:r>
          </w:p>
          <w:p w14:paraId="3044C6FB" w14:textId="44481A0D" w:rsidR="00A93620" w:rsidRPr="00520C23" w:rsidRDefault="000B089B" w:rsidP="004056C4">
            <w:pPr>
              <w:spacing w:before="120"/>
              <w:rPr>
                <w:rFonts w:cstheme="minorHAnsi"/>
                <w:i/>
                <w:iCs/>
              </w:rPr>
            </w:pPr>
            <w:r w:rsidRPr="00520C23">
              <w:rPr>
                <w:rFonts w:cstheme="minorHAnsi"/>
                <w:i/>
                <w:iCs/>
              </w:rPr>
              <w:t>(d) Wastewater tracking documentation must be reported to the Minister at least annually in accordance with the framework provided in the EMP.</w:t>
            </w:r>
          </w:p>
          <w:p w14:paraId="75D1F07C" w14:textId="4AA9308C" w:rsidR="00197158" w:rsidRPr="00520C23" w:rsidRDefault="00754B73" w:rsidP="00197158">
            <w:pPr>
              <w:spacing w:before="120"/>
              <w:rPr>
                <w:rFonts w:cstheme="minorHAnsi"/>
                <w:u w:val="single"/>
              </w:rPr>
            </w:pPr>
            <w:r w:rsidRPr="00520C23">
              <w:rPr>
                <w:rFonts w:cstheme="minorHAnsi"/>
                <w:u w:val="single"/>
              </w:rPr>
              <w:t>C.7.1 Wastewater Management Plan</w:t>
            </w:r>
          </w:p>
          <w:p w14:paraId="1203B092" w14:textId="77777777" w:rsidR="00197158" w:rsidRPr="00520C23" w:rsidRDefault="00197158" w:rsidP="00197158">
            <w:pPr>
              <w:spacing w:before="120"/>
              <w:rPr>
                <w:rFonts w:cstheme="minorHAnsi"/>
                <w:i/>
                <w:iCs/>
              </w:rPr>
            </w:pPr>
            <w:r w:rsidRPr="00520C23">
              <w:rPr>
                <w:rFonts w:cstheme="minorHAnsi"/>
                <w:i/>
                <w:iCs/>
              </w:rPr>
              <w:t>(a) An EMP for a petroleum activity must include a wastewater management plan (</w:t>
            </w:r>
            <w:r w:rsidRPr="00520C23">
              <w:rPr>
                <w:rFonts w:cstheme="minorHAnsi"/>
                <w:b/>
                <w:bCs/>
                <w:i/>
                <w:iCs/>
              </w:rPr>
              <w:t>WWMP</w:t>
            </w:r>
            <w:r w:rsidRPr="00520C23">
              <w:rPr>
                <w:rFonts w:cstheme="minorHAnsi"/>
                <w:i/>
                <w:iCs/>
              </w:rPr>
              <w:t xml:space="preserve">). </w:t>
            </w:r>
          </w:p>
          <w:p w14:paraId="32999DB1" w14:textId="1A21AB00" w:rsidR="00197158" w:rsidRPr="00520C23" w:rsidRDefault="00197158" w:rsidP="00197158">
            <w:pPr>
              <w:spacing w:before="120"/>
              <w:rPr>
                <w:rFonts w:cstheme="minorHAnsi"/>
                <w:i/>
                <w:iCs/>
              </w:rPr>
            </w:pPr>
            <w:r w:rsidRPr="00520C23">
              <w:rPr>
                <w:rFonts w:cstheme="minorHAnsi"/>
                <w:i/>
                <w:iCs/>
              </w:rPr>
              <w:t>(b) A WWMP must address all water and wastewater management activities which are proposed, as defined in section C.2.1…</w:t>
            </w:r>
          </w:p>
          <w:p w14:paraId="2A81A4DA" w14:textId="1E7659EA" w:rsidR="008F1E96" w:rsidRPr="00520C23" w:rsidRDefault="008F1E96" w:rsidP="008F1E96">
            <w:pPr>
              <w:spacing w:before="120"/>
              <w:rPr>
                <w:rFonts w:cstheme="minorHAnsi"/>
                <w:u w:val="single"/>
              </w:rPr>
            </w:pPr>
            <w:r w:rsidRPr="00520C23">
              <w:rPr>
                <w:rFonts w:cstheme="minorHAnsi"/>
                <w:u w:val="single"/>
              </w:rPr>
              <w:t>C.7.1.1 Wastewater treatment, reuse, and disposal</w:t>
            </w:r>
          </w:p>
          <w:p w14:paraId="791537FC" w14:textId="77777777" w:rsidR="00EB2769" w:rsidRPr="00520C23" w:rsidRDefault="00EB2769" w:rsidP="00EB2769">
            <w:pPr>
              <w:spacing w:before="120"/>
              <w:rPr>
                <w:rFonts w:cstheme="minorHAnsi"/>
              </w:rPr>
            </w:pPr>
            <w:r w:rsidRPr="00520C23">
              <w:rPr>
                <w:rFonts w:cstheme="minorHAnsi"/>
              </w:rPr>
              <w:t xml:space="preserve">The WWMP must include a specific detailed risk assessment for any proposed on site wastewater treatment or disposal which addresses at a minimum the following: </w:t>
            </w:r>
          </w:p>
          <w:p w14:paraId="5879DC82" w14:textId="02CF38F8" w:rsidR="00A93620" w:rsidRPr="00520C23" w:rsidRDefault="00EB2769" w:rsidP="004056C4">
            <w:pPr>
              <w:spacing w:before="120"/>
              <w:rPr>
                <w:rFonts w:cstheme="minorHAnsi"/>
                <w:i/>
                <w:iCs/>
              </w:rPr>
            </w:pPr>
            <w:r w:rsidRPr="00520C23">
              <w:rPr>
                <w:rFonts w:cstheme="minorHAnsi"/>
                <w:i/>
                <w:iCs/>
              </w:rPr>
              <w:t xml:space="preserve">(a) For any proposed </w:t>
            </w:r>
            <w:r w:rsidRPr="00520C23">
              <w:rPr>
                <w:rFonts w:cstheme="minorHAnsi"/>
                <w:b/>
                <w:bCs/>
                <w:i/>
                <w:iCs/>
              </w:rPr>
              <w:t xml:space="preserve">produced water </w:t>
            </w:r>
            <w:r w:rsidRPr="00520C23">
              <w:rPr>
                <w:rFonts w:cstheme="minorHAnsi"/>
                <w:i/>
                <w:iCs/>
              </w:rPr>
              <w:t xml:space="preserve">and </w:t>
            </w:r>
            <w:r w:rsidRPr="00520C23">
              <w:rPr>
                <w:rFonts w:cstheme="minorHAnsi"/>
                <w:b/>
                <w:bCs/>
                <w:i/>
                <w:iCs/>
              </w:rPr>
              <w:t xml:space="preserve">flowback fluid </w:t>
            </w:r>
            <w:r w:rsidRPr="00520C23">
              <w:rPr>
                <w:rFonts w:cstheme="minorHAnsi"/>
                <w:i/>
                <w:iCs/>
              </w:rPr>
              <w:t>treatment processes occurring outside of enclosed tanks (including volume reduction via evaporation) the WWMP must demonstrate that all associated environmental risks and environmental impacts have been reduced to a level that is ALARP and acceptable…</w:t>
            </w:r>
          </w:p>
        </w:tc>
        <w:tc>
          <w:tcPr>
            <w:tcW w:w="5310" w:type="dxa"/>
            <w:shd w:val="clear" w:color="auto" w:fill="FFF2CC" w:themeFill="accent4" w:themeFillTint="33"/>
          </w:tcPr>
          <w:p w14:paraId="0E8FDCA0" w14:textId="62856113" w:rsidR="001A40C4" w:rsidRDefault="00DE0DE2" w:rsidP="001A40C4">
            <w:pPr>
              <w:spacing w:before="120"/>
              <w:rPr>
                <w:rFonts w:cstheme="minorHAnsi"/>
                <w:b/>
              </w:rPr>
            </w:pPr>
            <w:r w:rsidRPr="00520C23">
              <w:rPr>
                <w:rFonts w:cstheme="minorHAnsi"/>
                <w:iCs/>
              </w:rPr>
              <w:lastRenderedPageBreak/>
              <w:t xml:space="preserve">The Code </w:t>
            </w:r>
            <w:r w:rsidR="00C849AC" w:rsidRPr="00520C23">
              <w:rPr>
                <w:rFonts w:cstheme="minorHAnsi"/>
                <w:iCs/>
              </w:rPr>
              <w:t>adequately addresses recommendation 5.5a.</w:t>
            </w:r>
            <w:r w:rsidR="001A40C4" w:rsidRPr="00520C23">
              <w:rPr>
                <w:rFonts w:cstheme="minorHAnsi"/>
                <w:iCs/>
              </w:rPr>
              <w:t xml:space="preserve"> </w:t>
            </w:r>
            <w:r w:rsidR="001A40C4" w:rsidRPr="00520C23">
              <w:rPr>
                <w:rFonts w:cstheme="minorHAnsi"/>
              </w:rPr>
              <w:t>The government is yet to</w:t>
            </w:r>
            <w:r w:rsidR="00431B36">
              <w:rPr>
                <w:rFonts w:cstheme="minorHAnsi"/>
              </w:rPr>
              <w:t xml:space="preserve"> complete its</w:t>
            </w:r>
            <w:r w:rsidR="001A40C4" w:rsidRPr="00520C23">
              <w:rPr>
                <w:rFonts w:cstheme="minorHAnsi"/>
              </w:rPr>
              <w:t xml:space="preserve"> implement</w:t>
            </w:r>
            <w:r w:rsidR="00431B36">
              <w:rPr>
                <w:rFonts w:cstheme="minorHAnsi"/>
              </w:rPr>
              <w:t>ation of</w:t>
            </w:r>
            <w:r w:rsidR="001A40C4" w:rsidRPr="00520C23">
              <w:rPr>
                <w:rFonts w:cstheme="minorHAnsi"/>
              </w:rPr>
              <w:t xml:space="preserve"> 5.5b</w:t>
            </w:r>
            <w:r w:rsidR="008A1AF7">
              <w:rPr>
                <w:rFonts w:cstheme="minorHAnsi"/>
              </w:rPr>
              <w:t xml:space="preserve"> (</w:t>
            </w:r>
            <w:r w:rsidR="00FE4737">
              <w:rPr>
                <w:rFonts w:cstheme="minorHAnsi"/>
              </w:rPr>
              <w:t xml:space="preserve">currently </w:t>
            </w:r>
            <w:r w:rsidR="008A1AF7">
              <w:rPr>
                <w:rFonts w:cstheme="minorHAnsi"/>
              </w:rPr>
              <w:t xml:space="preserve">75% complete as of </w:t>
            </w:r>
            <w:r w:rsidR="00931203">
              <w:rPr>
                <w:rFonts w:cstheme="minorHAnsi"/>
              </w:rPr>
              <w:t>April</w:t>
            </w:r>
            <w:r w:rsidR="00931203">
              <w:rPr>
                <w:rFonts w:cstheme="minorHAnsi"/>
              </w:rPr>
              <w:t xml:space="preserve"> </w:t>
            </w:r>
            <w:r w:rsidR="008A1AF7">
              <w:rPr>
                <w:rFonts w:cstheme="minorHAnsi"/>
              </w:rPr>
              <w:t>2023)</w:t>
            </w:r>
            <w:r w:rsidR="001A40C4" w:rsidRPr="00520C23">
              <w:rPr>
                <w:rFonts w:cstheme="minorHAnsi"/>
              </w:rPr>
              <w:t xml:space="preserve">, </w:t>
            </w:r>
            <w:r w:rsidR="00431B36">
              <w:rPr>
                <w:rFonts w:cstheme="minorHAnsi"/>
              </w:rPr>
              <w:t>which it</w:t>
            </w:r>
            <w:r w:rsidR="001A40C4" w:rsidRPr="00520C23">
              <w:rPr>
                <w:rFonts w:cstheme="minorHAnsi"/>
              </w:rPr>
              <w:t xml:space="preserve"> committed to do so by </w:t>
            </w:r>
            <w:r w:rsidR="008A1AF7">
              <w:rPr>
                <w:rFonts w:cstheme="minorHAnsi"/>
              </w:rPr>
              <w:t xml:space="preserve">end of </w:t>
            </w:r>
            <w:r w:rsidR="001A40C4" w:rsidRPr="00520C23">
              <w:rPr>
                <w:rFonts w:cstheme="minorHAnsi"/>
              </w:rPr>
              <w:t>December 202</w:t>
            </w:r>
            <w:r w:rsidR="008A1AF7">
              <w:rPr>
                <w:rFonts w:cstheme="minorHAnsi"/>
              </w:rPr>
              <w:t>2</w:t>
            </w:r>
            <w:r w:rsidR="001A40C4" w:rsidRPr="00520C23">
              <w:rPr>
                <w:rFonts w:cstheme="minorHAnsi"/>
              </w:rPr>
              <w:t xml:space="preserve">; </w:t>
            </w:r>
            <w:r w:rsidR="001A40C4" w:rsidRPr="00520C23">
              <w:rPr>
                <w:rFonts w:cstheme="minorHAnsi"/>
                <w:b/>
                <w:bCs/>
              </w:rPr>
              <w:t xml:space="preserve">this should be monitored. </w:t>
            </w:r>
          </w:p>
          <w:p w14:paraId="25C6A00F" w14:textId="6A00EDAB" w:rsidR="009124AF" w:rsidRPr="005C724B" w:rsidRDefault="001835B2" w:rsidP="001A40C4">
            <w:pPr>
              <w:spacing w:before="120"/>
              <w:rPr>
                <w:rFonts w:cstheme="minorHAnsi"/>
              </w:rPr>
            </w:pPr>
            <w:r>
              <w:rPr>
                <w:rFonts w:cstheme="minorHAnsi"/>
              </w:rPr>
              <w:t>In particular, t</w:t>
            </w:r>
            <w:r w:rsidR="002A4663" w:rsidRPr="00010ECF">
              <w:rPr>
                <w:rFonts w:cstheme="minorHAnsi"/>
              </w:rPr>
              <w:t>he government</w:t>
            </w:r>
            <w:r w:rsidR="00DC2A11" w:rsidRPr="00010ECF">
              <w:rPr>
                <w:rFonts w:cstheme="minorHAnsi"/>
              </w:rPr>
              <w:t xml:space="preserve"> committed to complet</w:t>
            </w:r>
            <w:r w:rsidR="00980CAD">
              <w:rPr>
                <w:rFonts w:cstheme="minorHAnsi"/>
              </w:rPr>
              <w:t>ing</w:t>
            </w:r>
            <w:r w:rsidR="00DC2A11" w:rsidRPr="00010ECF">
              <w:rPr>
                <w:rFonts w:cstheme="minorHAnsi"/>
              </w:rPr>
              <w:t xml:space="preserve"> </w:t>
            </w:r>
            <w:r w:rsidR="00472301" w:rsidRPr="00010ECF">
              <w:rPr>
                <w:rFonts w:cstheme="minorHAnsi"/>
              </w:rPr>
              <w:t xml:space="preserve">two studies on </w:t>
            </w:r>
            <w:r w:rsidR="00E41279" w:rsidRPr="00010ECF">
              <w:rPr>
                <w:rFonts w:cstheme="minorHAnsi"/>
              </w:rPr>
              <w:t>infrastructure requirements</w:t>
            </w:r>
            <w:r w:rsidR="00E25DDA" w:rsidRPr="00010ECF">
              <w:rPr>
                <w:rFonts w:cstheme="minorHAnsi"/>
              </w:rPr>
              <w:t xml:space="preserve"> and regional assessments</w:t>
            </w:r>
            <w:r w:rsidR="00E41279" w:rsidRPr="00010ECF">
              <w:rPr>
                <w:rFonts w:cstheme="minorHAnsi"/>
              </w:rPr>
              <w:t xml:space="preserve"> for Waste Treatment Facilities and fast</w:t>
            </w:r>
            <w:r w:rsidR="006660D7" w:rsidRPr="00010ECF">
              <w:rPr>
                <w:rFonts w:cstheme="minorHAnsi"/>
              </w:rPr>
              <w:t xml:space="preserve"> tracking their development</w:t>
            </w:r>
            <w:r w:rsidR="000B4EF5" w:rsidRPr="00010ECF">
              <w:rPr>
                <w:rFonts w:cstheme="minorHAnsi"/>
              </w:rPr>
              <w:t>.</w:t>
            </w:r>
          </w:p>
          <w:p w14:paraId="7313CC7B" w14:textId="1488C1D7" w:rsidR="00C849AC" w:rsidRPr="00520C23" w:rsidRDefault="00C849AC" w:rsidP="004056C4">
            <w:pPr>
              <w:spacing w:before="120"/>
              <w:rPr>
                <w:rFonts w:cstheme="minorHAnsi"/>
                <w:i/>
                <w:u w:val="single"/>
              </w:rPr>
            </w:pPr>
            <w:r w:rsidRPr="00520C23">
              <w:rPr>
                <w:rFonts w:cstheme="minorHAnsi"/>
                <w:i/>
                <w:u w:val="single"/>
              </w:rPr>
              <w:t>Comments</w:t>
            </w:r>
          </w:p>
          <w:p w14:paraId="4E0CF5DC" w14:textId="7A048DB2" w:rsidR="000B089B" w:rsidRPr="00520C23" w:rsidRDefault="00C849AC" w:rsidP="004056C4">
            <w:pPr>
              <w:spacing w:before="120"/>
              <w:rPr>
                <w:rFonts w:cstheme="minorHAnsi"/>
                <w:iCs/>
              </w:rPr>
            </w:pPr>
            <w:r w:rsidRPr="00520C23">
              <w:rPr>
                <w:rFonts w:cstheme="minorHAnsi"/>
                <w:iCs/>
              </w:rPr>
              <w:lastRenderedPageBreak/>
              <w:t>The</w:t>
            </w:r>
            <w:r w:rsidR="00DE0DE2" w:rsidRPr="00520C23">
              <w:rPr>
                <w:rFonts w:cstheme="minorHAnsi"/>
                <w:iCs/>
              </w:rPr>
              <w:t xml:space="preserve"> </w:t>
            </w:r>
            <w:r w:rsidR="000B089B" w:rsidRPr="00520C23">
              <w:rPr>
                <w:rFonts w:cstheme="minorHAnsi"/>
              </w:rPr>
              <w:t>failure to develop new wastewater treatment and disposal facilities in the Northern Territory</w:t>
            </w:r>
            <w:r w:rsidR="00DE0DE2" w:rsidRPr="00520C23">
              <w:rPr>
                <w:rFonts w:cstheme="minorHAnsi"/>
              </w:rPr>
              <w:t xml:space="preserve"> (5.5b)</w:t>
            </w:r>
            <w:r w:rsidR="000B089B" w:rsidRPr="00520C23">
              <w:rPr>
                <w:rFonts w:cstheme="minorHAnsi"/>
              </w:rPr>
              <w:t xml:space="preserve"> before granting exploration permits is a serious deficiency because:</w:t>
            </w:r>
          </w:p>
          <w:p w14:paraId="7986B4A6" w14:textId="4C8D45A0" w:rsidR="000B089B" w:rsidRPr="00520C23" w:rsidRDefault="000B089B" w:rsidP="009437DC">
            <w:pPr>
              <w:pStyle w:val="ListParagraph"/>
              <w:numPr>
                <w:ilvl w:val="0"/>
                <w:numId w:val="13"/>
              </w:numPr>
              <w:spacing w:before="120"/>
              <w:rPr>
                <w:rFonts w:cstheme="minorHAnsi"/>
              </w:rPr>
            </w:pPr>
            <w:r w:rsidRPr="00520C23">
              <w:rPr>
                <w:rFonts w:cstheme="minorHAnsi"/>
              </w:rPr>
              <w:t>Exploration drilling also produces significant wastewater.</w:t>
            </w:r>
          </w:p>
          <w:p w14:paraId="59588CC4" w14:textId="40AAA2EC" w:rsidR="000B089B" w:rsidRPr="00520C23" w:rsidRDefault="000B089B" w:rsidP="009437DC">
            <w:pPr>
              <w:pStyle w:val="ListParagraph"/>
              <w:numPr>
                <w:ilvl w:val="0"/>
                <w:numId w:val="13"/>
              </w:numPr>
              <w:spacing w:before="120"/>
              <w:rPr>
                <w:rFonts w:cstheme="minorHAnsi"/>
              </w:rPr>
            </w:pPr>
            <w:r w:rsidRPr="00520C23">
              <w:rPr>
                <w:rFonts w:cstheme="minorHAnsi"/>
              </w:rPr>
              <w:t>Wastewater reinjection is not to be permitted, as per recommendation 7.9</w:t>
            </w:r>
            <w:r w:rsidR="00ED28C9">
              <w:rPr>
                <w:rFonts w:cstheme="minorHAnsi"/>
              </w:rPr>
              <w:t>.</w:t>
            </w:r>
          </w:p>
          <w:p w14:paraId="14E51381" w14:textId="74A56799" w:rsidR="000B089B" w:rsidRPr="00520C23" w:rsidRDefault="000B089B" w:rsidP="009437DC">
            <w:pPr>
              <w:pStyle w:val="ListParagraph"/>
              <w:numPr>
                <w:ilvl w:val="0"/>
                <w:numId w:val="13"/>
              </w:numPr>
              <w:spacing w:before="120"/>
              <w:rPr>
                <w:rFonts w:cstheme="minorHAnsi"/>
              </w:rPr>
            </w:pPr>
            <w:r w:rsidRPr="00520C23">
              <w:rPr>
                <w:rFonts w:cstheme="minorHAnsi"/>
              </w:rPr>
              <w:t>It will take several years for appropriate wastewater facilities to be permitted and developed.</w:t>
            </w:r>
          </w:p>
          <w:p w14:paraId="3CAC968C" w14:textId="11C30A69" w:rsidR="00517686" w:rsidRPr="00520C23" w:rsidRDefault="00517686" w:rsidP="00DE0DE2">
            <w:pPr>
              <w:spacing w:before="120"/>
              <w:rPr>
                <w:rFonts w:cstheme="minorHAnsi"/>
              </w:rPr>
            </w:pPr>
          </w:p>
        </w:tc>
      </w:tr>
      <w:tr w:rsidR="00EA3C33" w:rsidRPr="00520C23" w14:paraId="3EA2925A" w14:textId="77777777" w:rsidTr="00EA3C33">
        <w:tc>
          <w:tcPr>
            <w:tcW w:w="846" w:type="dxa"/>
            <w:shd w:val="clear" w:color="auto" w:fill="auto"/>
          </w:tcPr>
          <w:p w14:paraId="3A1792A2" w14:textId="2AB2BC49" w:rsidR="000B089B" w:rsidRPr="00520C23" w:rsidRDefault="000B089B" w:rsidP="006A1075">
            <w:pPr>
              <w:spacing w:before="120"/>
              <w:jc w:val="center"/>
              <w:rPr>
                <w:rFonts w:cstheme="minorHAnsi"/>
              </w:rPr>
            </w:pPr>
            <w:r w:rsidRPr="00520C23">
              <w:rPr>
                <w:rFonts w:cstheme="minorHAnsi"/>
              </w:rPr>
              <w:lastRenderedPageBreak/>
              <w:t>5.6</w:t>
            </w:r>
          </w:p>
        </w:tc>
        <w:tc>
          <w:tcPr>
            <w:tcW w:w="4819" w:type="dxa"/>
            <w:shd w:val="clear" w:color="auto" w:fill="auto"/>
          </w:tcPr>
          <w:p w14:paraId="30799A8D" w14:textId="77777777" w:rsidR="000B089B" w:rsidRPr="00520C23" w:rsidRDefault="000B089B" w:rsidP="004056C4">
            <w:pPr>
              <w:spacing w:before="120"/>
              <w:rPr>
                <w:rFonts w:cstheme="minorHAnsi"/>
                <w:b/>
                <w:bCs/>
                <w:i/>
                <w:iCs/>
              </w:rPr>
            </w:pPr>
            <w:r w:rsidRPr="00520C23">
              <w:rPr>
                <w:rFonts w:cstheme="minorHAnsi"/>
                <w:i/>
                <w:iCs/>
              </w:rPr>
              <w:t xml:space="preserve">That in consultation with the gas industry and the community, specific guidance be implemented by the Government, drawing on protocols and procedures developed in other jurisdictions, for the </w:t>
            </w:r>
            <w:r w:rsidRPr="00520C23">
              <w:rPr>
                <w:rFonts w:cstheme="minorHAnsi"/>
                <w:b/>
                <w:bCs/>
                <w:i/>
                <w:iCs/>
              </w:rPr>
              <w:t>characterisation, segregation, potential reuse and management of solid wastes produced by any onshore shale gas industry.</w:t>
            </w:r>
          </w:p>
          <w:p w14:paraId="6D7E6526" w14:textId="643A6D22" w:rsidR="000B089B" w:rsidRPr="00520C23" w:rsidRDefault="000B089B" w:rsidP="004056C4">
            <w:pPr>
              <w:spacing w:before="120"/>
              <w:rPr>
                <w:rFonts w:cstheme="minorHAnsi"/>
                <w:i/>
                <w:iCs/>
              </w:rPr>
            </w:pPr>
          </w:p>
        </w:tc>
        <w:tc>
          <w:tcPr>
            <w:tcW w:w="5760" w:type="dxa"/>
            <w:shd w:val="clear" w:color="auto" w:fill="auto"/>
          </w:tcPr>
          <w:p w14:paraId="0B83064F" w14:textId="0CE38DD3" w:rsidR="000B089B" w:rsidRPr="00520C23" w:rsidRDefault="000B089B" w:rsidP="00AB544B">
            <w:pPr>
              <w:spacing w:before="120"/>
              <w:rPr>
                <w:rFonts w:cstheme="minorHAnsi"/>
              </w:rPr>
            </w:pPr>
            <w:r w:rsidRPr="00520C23">
              <w:rPr>
                <w:rFonts w:cstheme="minorHAnsi"/>
              </w:rPr>
              <w:t>The Northern Territory Government worked with independent scientific experts to develop a Code of Practice relative to the Inquiry’s recommendation. The Code is legally enforceable through the Petroleum (Environment) Regulations 2016. The finalised Code was published on 12 June 2019 and can be found </w:t>
            </w:r>
            <w:hyperlink r:id="rId21" w:history="1">
              <w:r w:rsidRPr="00520C23">
                <w:rPr>
                  <w:rStyle w:val="Hyperlink"/>
                  <w:rFonts w:cstheme="minorHAnsi"/>
                </w:rPr>
                <w:t>here</w:t>
              </w:r>
            </w:hyperlink>
            <w:r w:rsidRPr="00520C23">
              <w:rPr>
                <w:rFonts w:cstheme="minorHAnsi"/>
              </w:rPr>
              <w:t>.</w:t>
            </w:r>
          </w:p>
        </w:tc>
        <w:tc>
          <w:tcPr>
            <w:tcW w:w="5670" w:type="dxa"/>
            <w:shd w:val="clear" w:color="auto" w:fill="auto"/>
          </w:tcPr>
          <w:p w14:paraId="5B7E6107" w14:textId="31E9FA75" w:rsidR="00D63154" w:rsidRPr="00520C23" w:rsidRDefault="0004501C" w:rsidP="00DB2444">
            <w:pPr>
              <w:spacing w:before="120"/>
              <w:rPr>
                <w:rFonts w:cstheme="minorHAnsi"/>
                <w:u w:val="single"/>
              </w:rPr>
            </w:pPr>
            <w:r w:rsidRPr="00520C23">
              <w:rPr>
                <w:rFonts w:cstheme="minorHAnsi"/>
              </w:rPr>
              <w:t>Part C of the C</w:t>
            </w:r>
            <w:r w:rsidR="00BE71E9" w:rsidRPr="00520C23">
              <w:rPr>
                <w:rFonts w:cstheme="minorHAnsi"/>
              </w:rPr>
              <w:t>ode addresses</w:t>
            </w:r>
            <w:r w:rsidR="008979C9" w:rsidRPr="00520C23">
              <w:rPr>
                <w:rFonts w:cstheme="minorHAnsi"/>
              </w:rPr>
              <w:t xml:space="preserve"> the </w:t>
            </w:r>
            <w:r w:rsidR="00982977" w:rsidRPr="00520C23">
              <w:rPr>
                <w:rFonts w:cstheme="minorHAnsi"/>
              </w:rPr>
              <w:t>characteri</w:t>
            </w:r>
            <w:r w:rsidR="00304549">
              <w:rPr>
                <w:rFonts w:cstheme="minorHAnsi"/>
              </w:rPr>
              <w:t>s</w:t>
            </w:r>
            <w:r w:rsidR="00982977" w:rsidRPr="00520C23">
              <w:rPr>
                <w:rFonts w:cstheme="minorHAnsi"/>
              </w:rPr>
              <w:t>ation and management of</w:t>
            </w:r>
            <w:r w:rsidR="00BE71E9" w:rsidRPr="00520C23">
              <w:rPr>
                <w:rFonts w:cstheme="minorHAnsi"/>
              </w:rPr>
              <w:t xml:space="preserve"> both waste </w:t>
            </w:r>
            <w:r w:rsidR="006A44AC" w:rsidRPr="00520C23">
              <w:rPr>
                <w:rFonts w:cstheme="minorHAnsi"/>
              </w:rPr>
              <w:t>fluids</w:t>
            </w:r>
            <w:r w:rsidR="00BE71E9" w:rsidRPr="00520C23">
              <w:rPr>
                <w:rFonts w:cstheme="minorHAnsi"/>
              </w:rPr>
              <w:t xml:space="preserve"> and </w:t>
            </w:r>
            <w:r w:rsidR="006A44AC" w:rsidRPr="00520C23">
              <w:rPr>
                <w:rFonts w:cstheme="minorHAnsi"/>
              </w:rPr>
              <w:t xml:space="preserve">waste solids </w:t>
            </w:r>
            <w:r w:rsidR="008979C9" w:rsidRPr="00520C23">
              <w:rPr>
                <w:rFonts w:cstheme="minorHAnsi"/>
              </w:rPr>
              <w:t xml:space="preserve">generated on the well site. </w:t>
            </w:r>
            <w:r w:rsidR="006A44AC" w:rsidRPr="00520C23">
              <w:rPr>
                <w:rFonts w:cstheme="minorHAnsi"/>
              </w:rPr>
              <w:t xml:space="preserve"> </w:t>
            </w:r>
            <w:r w:rsidRPr="00520C23">
              <w:rPr>
                <w:rFonts w:cstheme="minorHAnsi"/>
                <w:u w:val="single"/>
              </w:rPr>
              <w:t xml:space="preserve"> </w:t>
            </w:r>
          </w:p>
          <w:p w14:paraId="40B392D4" w14:textId="6E48E98D" w:rsidR="00C849AC" w:rsidRPr="00520C23" w:rsidRDefault="00C849AC" w:rsidP="00DB2444">
            <w:pPr>
              <w:spacing w:before="120"/>
              <w:rPr>
                <w:rFonts w:cstheme="minorHAnsi"/>
                <w:b/>
                <w:bCs/>
              </w:rPr>
            </w:pPr>
            <w:r w:rsidRPr="00520C23">
              <w:rPr>
                <w:rFonts w:cstheme="minorHAnsi"/>
                <w:b/>
                <w:bCs/>
              </w:rPr>
              <w:t>Code of Practice</w:t>
            </w:r>
          </w:p>
          <w:p w14:paraId="1E228FD8" w14:textId="0C48AF6B" w:rsidR="00CE166B" w:rsidRPr="00520C23" w:rsidRDefault="00CE166B" w:rsidP="00DB2444">
            <w:pPr>
              <w:spacing w:before="120"/>
              <w:rPr>
                <w:rFonts w:cstheme="minorHAnsi"/>
                <w:u w:val="single"/>
              </w:rPr>
            </w:pPr>
            <w:r w:rsidRPr="00520C23">
              <w:rPr>
                <w:rFonts w:cstheme="minorHAnsi"/>
                <w:u w:val="single"/>
              </w:rPr>
              <w:t xml:space="preserve">C.2.1 Water and wastewater to which this Code applies </w:t>
            </w:r>
          </w:p>
          <w:p w14:paraId="09EC0953" w14:textId="77777777" w:rsidR="002B2615" w:rsidRPr="00520C23" w:rsidRDefault="002B2615" w:rsidP="002B2615">
            <w:pPr>
              <w:spacing w:before="120"/>
              <w:rPr>
                <w:rFonts w:cstheme="minorHAnsi"/>
                <w:i/>
                <w:iCs/>
              </w:rPr>
            </w:pPr>
            <w:r w:rsidRPr="00520C23">
              <w:rPr>
                <w:rFonts w:cstheme="minorHAnsi"/>
                <w:i/>
                <w:iCs/>
              </w:rPr>
              <w:t xml:space="preserve">(e) residual drilling waste, e.g. muds and cuttings (which may be more or less in a solid state) in addition to the fluids mentioned in (a) to (d) above; </w:t>
            </w:r>
          </w:p>
          <w:p w14:paraId="0DD8CE34" w14:textId="77777777" w:rsidR="00221D4C" w:rsidRPr="00520C23" w:rsidRDefault="00221D4C" w:rsidP="00221D4C">
            <w:pPr>
              <w:spacing w:before="120"/>
              <w:rPr>
                <w:rFonts w:cstheme="minorHAnsi"/>
                <w:u w:val="single"/>
              </w:rPr>
            </w:pPr>
            <w:r w:rsidRPr="00520C23">
              <w:rPr>
                <w:rFonts w:cstheme="minorHAnsi"/>
                <w:u w:val="single"/>
              </w:rPr>
              <w:t xml:space="preserve">C.4 Design requirements </w:t>
            </w:r>
          </w:p>
          <w:p w14:paraId="516B61DA" w14:textId="77777777" w:rsidR="00221D4C" w:rsidRPr="00520C23" w:rsidRDefault="00221D4C" w:rsidP="00221D4C">
            <w:pPr>
              <w:spacing w:before="120"/>
              <w:rPr>
                <w:rFonts w:cstheme="minorHAnsi"/>
                <w:u w:val="single"/>
              </w:rPr>
            </w:pPr>
            <w:r w:rsidRPr="00520C23">
              <w:rPr>
                <w:rFonts w:cstheme="minorHAnsi"/>
                <w:u w:val="single"/>
              </w:rPr>
              <w:t xml:space="preserve">C.4.1 Drilling fluids </w:t>
            </w:r>
          </w:p>
          <w:p w14:paraId="1F95D48B" w14:textId="77777777" w:rsidR="00221D4C" w:rsidRPr="00520C23" w:rsidRDefault="00221D4C" w:rsidP="00221D4C">
            <w:pPr>
              <w:spacing w:before="120"/>
              <w:rPr>
                <w:rFonts w:cstheme="minorHAnsi"/>
                <w:u w:val="single"/>
              </w:rPr>
            </w:pPr>
            <w:r w:rsidRPr="00520C23">
              <w:rPr>
                <w:rFonts w:cstheme="minorHAnsi"/>
                <w:u w:val="single"/>
              </w:rPr>
              <w:t xml:space="preserve">C.4.1.1 Principles </w:t>
            </w:r>
          </w:p>
          <w:p w14:paraId="5207A4FF" w14:textId="33FC4401" w:rsidR="00221D4C" w:rsidRPr="00520C23" w:rsidRDefault="000318C8" w:rsidP="00221D4C">
            <w:pPr>
              <w:spacing w:before="120"/>
              <w:rPr>
                <w:rFonts w:cstheme="minorHAnsi"/>
                <w:i/>
                <w:iCs/>
              </w:rPr>
            </w:pPr>
            <w:r w:rsidRPr="00520C23">
              <w:rPr>
                <w:rFonts w:cstheme="minorHAnsi"/>
                <w:i/>
                <w:iCs/>
              </w:rPr>
              <w:t>…</w:t>
            </w:r>
            <w:r w:rsidR="00221D4C" w:rsidRPr="00520C23">
              <w:rPr>
                <w:rFonts w:cstheme="minorHAnsi"/>
                <w:i/>
                <w:iCs/>
              </w:rPr>
              <w:t xml:space="preserve">Drilling fluids can have a substantial volume of solids derived from additives (such as bentonite clay) and drill cuttings. Management of drilling fluid as a waste must manage the liquid and solid components appropriately. </w:t>
            </w:r>
          </w:p>
          <w:p w14:paraId="0A51B5F0" w14:textId="77777777" w:rsidR="00221D4C" w:rsidRPr="00520C23" w:rsidRDefault="00221D4C" w:rsidP="00221D4C">
            <w:pPr>
              <w:spacing w:before="120"/>
              <w:rPr>
                <w:rFonts w:cstheme="minorHAnsi"/>
                <w:u w:val="single"/>
              </w:rPr>
            </w:pPr>
            <w:r w:rsidRPr="00520C23">
              <w:rPr>
                <w:rFonts w:cstheme="minorHAnsi"/>
                <w:u w:val="single"/>
              </w:rPr>
              <w:t xml:space="preserve">C.4.1.2 Mandatory requirements </w:t>
            </w:r>
          </w:p>
          <w:p w14:paraId="7BBD6FDB" w14:textId="77777777" w:rsidR="00221D4C" w:rsidRPr="00520C23" w:rsidRDefault="00221D4C" w:rsidP="00221D4C">
            <w:pPr>
              <w:spacing w:before="120"/>
              <w:rPr>
                <w:rFonts w:cstheme="minorHAnsi"/>
                <w:i/>
                <w:iCs/>
              </w:rPr>
            </w:pPr>
            <w:r w:rsidRPr="00520C23">
              <w:rPr>
                <w:rFonts w:cstheme="minorHAnsi"/>
                <w:i/>
                <w:iCs/>
              </w:rPr>
              <w:lastRenderedPageBreak/>
              <w:t xml:space="preserve">(a) Waste drilling fluid shall be managed in accordance with the WWMP and SMP. </w:t>
            </w:r>
          </w:p>
          <w:p w14:paraId="2D792330" w14:textId="77777777" w:rsidR="00221D4C" w:rsidRPr="00520C23" w:rsidRDefault="00221D4C" w:rsidP="00221D4C">
            <w:pPr>
              <w:spacing w:before="120"/>
              <w:rPr>
                <w:rFonts w:cstheme="minorHAnsi"/>
                <w:i/>
                <w:iCs/>
              </w:rPr>
            </w:pPr>
            <w:r w:rsidRPr="00520C23">
              <w:rPr>
                <w:rFonts w:cstheme="minorHAnsi"/>
                <w:i/>
                <w:iCs/>
              </w:rPr>
              <w:t xml:space="preserve">(b) Any residual drilling fluids and cuttings must be contained within: </w:t>
            </w:r>
          </w:p>
          <w:p w14:paraId="1B47C161" w14:textId="77777777" w:rsidR="00221D4C" w:rsidRPr="00520C23" w:rsidRDefault="00221D4C" w:rsidP="00221D4C">
            <w:pPr>
              <w:spacing w:before="120"/>
              <w:rPr>
                <w:rFonts w:cstheme="minorHAnsi"/>
                <w:i/>
                <w:iCs/>
              </w:rPr>
            </w:pPr>
            <w:r w:rsidRPr="00520C23">
              <w:rPr>
                <w:rFonts w:cstheme="minorHAnsi"/>
                <w:i/>
                <w:iCs/>
              </w:rPr>
              <w:t>i. engineered pits, lined with an impermeable membrane with coefficient of permeability of less than 10</w:t>
            </w:r>
            <w:r w:rsidRPr="00520C23">
              <w:rPr>
                <w:rFonts w:cstheme="minorHAnsi"/>
                <w:i/>
                <w:iCs/>
                <w:vertAlign w:val="superscript"/>
              </w:rPr>
              <w:t xml:space="preserve">-9 </w:t>
            </w:r>
            <w:r w:rsidRPr="00520C23">
              <w:rPr>
                <w:rFonts w:cstheme="minorHAnsi"/>
                <w:i/>
                <w:iCs/>
              </w:rPr>
              <w:t xml:space="preserve">m/s tested in accordance with AS 1289.6.7.2 and with resistance to tearing &gt;0.5kN (ASTM D 4073); static puncture &gt;0.5kN (ASTM D 4833) and tensile strength &gt;20 kN/m (ASTM D 7275); or </w:t>
            </w:r>
          </w:p>
          <w:p w14:paraId="66468AEE" w14:textId="44486B06" w:rsidR="00221D4C" w:rsidRPr="00520C23" w:rsidRDefault="00221D4C" w:rsidP="00221D4C">
            <w:pPr>
              <w:spacing w:before="120"/>
              <w:rPr>
                <w:rFonts w:cstheme="minorHAnsi"/>
                <w:i/>
                <w:iCs/>
              </w:rPr>
            </w:pPr>
            <w:r w:rsidRPr="00520C23">
              <w:rPr>
                <w:rFonts w:cstheme="minorHAnsi"/>
                <w:i/>
                <w:iCs/>
              </w:rPr>
              <w:t xml:space="preserve">ii. above ground storage tanks with secondary containment measures as detailed in B.4.16.2(h). </w:t>
            </w:r>
          </w:p>
          <w:p w14:paraId="3B4CBC8E" w14:textId="77777777" w:rsidR="00221D4C" w:rsidRPr="00520C23" w:rsidRDefault="00221D4C" w:rsidP="00221D4C">
            <w:pPr>
              <w:spacing w:before="120"/>
              <w:rPr>
                <w:rFonts w:cstheme="minorHAnsi"/>
                <w:i/>
                <w:iCs/>
              </w:rPr>
            </w:pPr>
            <w:r w:rsidRPr="00520C23">
              <w:rPr>
                <w:rFonts w:cstheme="minorHAnsi"/>
                <w:i/>
                <w:iCs/>
                <w:u w:val="single"/>
              </w:rPr>
              <w:t>(</w:t>
            </w:r>
            <w:r w:rsidRPr="00520C23">
              <w:rPr>
                <w:rFonts w:cstheme="minorHAnsi"/>
                <w:i/>
                <w:iCs/>
              </w:rPr>
              <w:t xml:space="preserve">c) An assessment of environmental impacts and environmental risks posed by the drill cuttings and residual drilling fluids must be carried out. </w:t>
            </w:r>
          </w:p>
          <w:p w14:paraId="09EA633D" w14:textId="77777777" w:rsidR="00221D4C" w:rsidRPr="00520C23" w:rsidRDefault="00221D4C" w:rsidP="00221D4C">
            <w:pPr>
              <w:spacing w:before="120"/>
              <w:rPr>
                <w:rFonts w:cstheme="minorHAnsi"/>
                <w:i/>
                <w:iCs/>
              </w:rPr>
            </w:pPr>
            <w:r w:rsidRPr="00520C23">
              <w:rPr>
                <w:rFonts w:cstheme="minorHAnsi"/>
                <w:i/>
                <w:iCs/>
              </w:rPr>
              <w:t xml:space="preserve">(d) Disposal options for drill cuttings and residue from drilling fluids must take into account the results of the assessment in C.4.1.2 (c). </w:t>
            </w:r>
          </w:p>
          <w:p w14:paraId="7FEDD1DB" w14:textId="77777777" w:rsidR="00221D4C" w:rsidRPr="00520C23" w:rsidRDefault="00221D4C" w:rsidP="00221D4C">
            <w:pPr>
              <w:spacing w:before="120"/>
              <w:rPr>
                <w:rFonts w:cstheme="minorHAnsi"/>
                <w:i/>
                <w:iCs/>
              </w:rPr>
            </w:pPr>
            <w:r w:rsidRPr="00520C23">
              <w:rPr>
                <w:rFonts w:cstheme="minorHAnsi"/>
                <w:i/>
                <w:iCs/>
              </w:rPr>
              <w:t xml:space="preserve">(e) Leachability testing of drill cuttings must be undertaken in accordance with the Australian Standard Leaching Procedure (Australian Standards AS4439.2 and 4439.3) by a NATA accredited laboratory The analytes and method for drilling waste assessment for this assessment are shown in Table 10. </w:t>
            </w:r>
          </w:p>
          <w:p w14:paraId="53BCC42C" w14:textId="6318F353" w:rsidR="00221D4C" w:rsidRPr="00520C23" w:rsidRDefault="00221D4C" w:rsidP="00221D4C">
            <w:pPr>
              <w:spacing w:before="120"/>
              <w:rPr>
                <w:rFonts w:cstheme="minorHAnsi"/>
                <w:i/>
                <w:iCs/>
              </w:rPr>
            </w:pPr>
            <w:r w:rsidRPr="00520C23">
              <w:rPr>
                <w:rFonts w:cstheme="minorHAnsi"/>
                <w:i/>
                <w:iCs/>
              </w:rPr>
              <w:t xml:space="preserve">(f) If seeking approval to dispose of residue from drilling fluids on-site, the EMP that is submitted must include a certification from a suitably qualified third party… </w:t>
            </w:r>
          </w:p>
          <w:p w14:paraId="08A06B88" w14:textId="58620D25" w:rsidR="00CE166B" w:rsidRPr="00520C23" w:rsidRDefault="00221D4C" w:rsidP="00DB2444">
            <w:pPr>
              <w:spacing w:before="120"/>
              <w:rPr>
                <w:rFonts w:cstheme="minorHAnsi"/>
                <w:i/>
                <w:iCs/>
              </w:rPr>
            </w:pPr>
            <w:r w:rsidRPr="00520C23">
              <w:rPr>
                <w:rFonts w:cstheme="minorHAnsi"/>
                <w:i/>
                <w:iCs/>
              </w:rPr>
              <w:t xml:space="preserve">(g) Control measures must be implemented to minimise the interactions of wildlife, stock, and human receptors with drilling fluids. </w:t>
            </w:r>
          </w:p>
          <w:p w14:paraId="39AB8BF6" w14:textId="2EF503D2" w:rsidR="00DB2444" w:rsidRPr="00520C23" w:rsidRDefault="00DB2444" w:rsidP="00DB2444">
            <w:pPr>
              <w:spacing w:before="120"/>
              <w:rPr>
                <w:rFonts w:cstheme="minorHAnsi"/>
                <w:u w:val="single"/>
              </w:rPr>
            </w:pPr>
            <w:r w:rsidRPr="00520C23">
              <w:rPr>
                <w:rFonts w:cstheme="minorHAnsi"/>
                <w:u w:val="single"/>
              </w:rPr>
              <w:t xml:space="preserve">C.4.1.3 Preferred requirements </w:t>
            </w:r>
          </w:p>
          <w:p w14:paraId="7122AD47" w14:textId="77777777" w:rsidR="000B089B" w:rsidRPr="00520C23" w:rsidRDefault="00DB2444" w:rsidP="00DB2444">
            <w:pPr>
              <w:spacing w:before="120"/>
              <w:rPr>
                <w:rFonts w:cstheme="minorHAnsi"/>
                <w:i/>
                <w:iCs/>
              </w:rPr>
            </w:pPr>
            <w:r w:rsidRPr="00520C23">
              <w:rPr>
                <w:rFonts w:cstheme="minorHAnsi"/>
                <w:i/>
                <w:iCs/>
              </w:rPr>
              <w:t>(a) Recycling and re-use of all solids waste should be maximised, to minimise volume of waste that must be disposed of on-site or transported and managed off-site.</w:t>
            </w:r>
          </w:p>
          <w:p w14:paraId="24FB573F" w14:textId="1FE268BE" w:rsidR="00CE166B" w:rsidRPr="00520C23" w:rsidRDefault="00CE166B" w:rsidP="00DB2444">
            <w:pPr>
              <w:spacing w:before="120"/>
              <w:rPr>
                <w:rFonts w:cstheme="minorHAnsi"/>
              </w:rPr>
            </w:pPr>
          </w:p>
        </w:tc>
        <w:tc>
          <w:tcPr>
            <w:tcW w:w="5310" w:type="dxa"/>
            <w:shd w:val="clear" w:color="auto" w:fill="E2EFD9" w:themeFill="accent6" w:themeFillTint="33"/>
          </w:tcPr>
          <w:p w14:paraId="530290E4" w14:textId="38CB4765" w:rsidR="00DE0DE2" w:rsidRPr="00520C23" w:rsidRDefault="00982977" w:rsidP="00DE0DE2">
            <w:pPr>
              <w:spacing w:before="120"/>
              <w:rPr>
                <w:rFonts w:cstheme="minorHAnsi"/>
              </w:rPr>
            </w:pPr>
            <w:r w:rsidRPr="00520C23">
              <w:rPr>
                <w:rFonts w:cstheme="minorHAnsi"/>
              </w:rPr>
              <w:lastRenderedPageBreak/>
              <w:t xml:space="preserve">Part C of the Code adequately addresses </w:t>
            </w:r>
            <w:r w:rsidR="00C849AC" w:rsidRPr="00520C23">
              <w:rPr>
                <w:rFonts w:cstheme="minorHAnsi"/>
              </w:rPr>
              <w:t>r</w:t>
            </w:r>
            <w:r w:rsidR="00985D13" w:rsidRPr="00520C23">
              <w:rPr>
                <w:rFonts w:cstheme="minorHAnsi"/>
              </w:rPr>
              <w:t>ecommendation 5.6</w:t>
            </w:r>
            <w:r w:rsidR="001B0F59" w:rsidRPr="00520C23">
              <w:rPr>
                <w:rFonts w:cstheme="minorHAnsi"/>
              </w:rPr>
              <w:t xml:space="preserve">. </w:t>
            </w:r>
          </w:p>
          <w:p w14:paraId="056CCFE1" w14:textId="61BA1629" w:rsidR="00C849AC" w:rsidRPr="00520C23" w:rsidRDefault="00C849AC" w:rsidP="00DE0DE2">
            <w:pPr>
              <w:spacing w:before="120"/>
              <w:rPr>
                <w:rFonts w:cstheme="minorHAnsi"/>
                <w:i/>
                <w:iCs/>
                <w:u w:val="single"/>
              </w:rPr>
            </w:pPr>
            <w:r w:rsidRPr="00520C23">
              <w:rPr>
                <w:rFonts w:cstheme="minorHAnsi"/>
                <w:i/>
                <w:iCs/>
                <w:u w:val="single"/>
              </w:rPr>
              <w:t>Comments</w:t>
            </w:r>
          </w:p>
          <w:p w14:paraId="594EC9DA" w14:textId="3460882A" w:rsidR="000B089B" w:rsidRPr="00520C23" w:rsidRDefault="003A6E80" w:rsidP="009437DC">
            <w:pPr>
              <w:pStyle w:val="ListParagraph"/>
              <w:numPr>
                <w:ilvl w:val="0"/>
                <w:numId w:val="11"/>
              </w:numPr>
              <w:spacing w:before="120"/>
              <w:rPr>
                <w:rFonts w:cstheme="minorHAnsi"/>
              </w:rPr>
            </w:pPr>
            <w:r w:rsidRPr="00520C23">
              <w:rPr>
                <w:rFonts w:cstheme="minorHAnsi"/>
              </w:rPr>
              <w:t>It</w:t>
            </w:r>
            <w:r w:rsidR="001B0F59" w:rsidRPr="00520C23">
              <w:rPr>
                <w:rFonts w:cstheme="minorHAnsi"/>
              </w:rPr>
              <w:t xml:space="preserve"> </w:t>
            </w:r>
            <w:r w:rsidR="00EC38CE" w:rsidRPr="00520C23">
              <w:rPr>
                <w:rFonts w:cstheme="minorHAnsi"/>
              </w:rPr>
              <w:t xml:space="preserve">will be important to ensure that companies </w:t>
            </w:r>
            <w:r w:rsidRPr="00520C23">
              <w:rPr>
                <w:rFonts w:cstheme="minorHAnsi"/>
              </w:rPr>
              <w:t>appropriately address</w:t>
            </w:r>
            <w:r w:rsidR="00EC38CE" w:rsidRPr="00520C23">
              <w:rPr>
                <w:rFonts w:cstheme="minorHAnsi"/>
              </w:rPr>
              <w:t xml:space="preserve"> </w:t>
            </w:r>
            <w:r w:rsidR="001B0F59" w:rsidRPr="00520C23">
              <w:rPr>
                <w:rFonts w:cstheme="minorHAnsi"/>
              </w:rPr>
              <w:t xml:space="preserve">solids in their </w:t>
            </w:r>
            <w:r w:rsidR="00F116C1" w:rsidRPr="00520C23">
              <w:rPr>
                <w:rFonts w:cstheme="minorHAnsi"/>
              </w:rPr>
              <w:t>wastewater management plans</w:t>
            </w:r>
            <w:r w:rsidRPr="00520C23">
              <w:rPr>
                <w:rFonts w:cstheme="minorHAnsi"/>
              </w:rPr>
              <w:t>.</w:t>
            </w:r>
          </w:p>
        </w:tc>
      </w:tr>
      <w:tr w:rsidR="00F550B4" w:rsidRPr="00520C23" w14:paraId="29452F99" w14:textId="77777777" w:rsidTr="00EA3C33">
        <w:tc>
          <w:tcPr>
            <w:tcW w:w="846" w:type="dxa"/>
            <w:shd w:val="clear" w:color="auto" w:fill="auto"/>
          </w:tcPr>
          <w:p w14:paraId="14FEB161" w14:textId="77777777" w:rsidR="00F550B4" w:rsidRDefault="00F550B4" w:rsidP="006A1075">
            <w:pPr>
              <w:spacing w:before="120"/>
              <w:jc w:val="center"/>
              <w:rPr>
                <w:rFonts w:cstheme="minorHAnsi"/>
              </w:rPr>
            </w:pPr>
            <w:r>
              <w:rPr>
                <w:rFonts w:cstheme="minorHAnsi"/>
              </w:rPr>
              <w:t>5.7</w:t>
            </w:r>
          </w:p>
          <w:p w14:paraId="69145639" w14:textId="09E79209" w:rsidR="00F550B4" w:rsidRPr="00E54542" w:rsidRDefault="00F550B4" w:rsidP="00E54542">
            <w:pPr>
              <w:tabs>
                <w:tab w:val="left" w:pos="565"/>
              </w:tabs>
              <w:rPr>
                <w:rFonts w:cstheme="minorHAnsi"/>
              </w:rPr>
            </w:pPr>
            <w:r>
              <w:rPr>
                <w:rFonts w:cstheme="minorHAnsi"/>
              </w:rPr>
              <w:tab/>
            </w:r>
          </w:p>
        </w:tc>
        <w:tc>
          <w:tcPr>
            <w:tcW w:w="4819" w:type="dxa"/>
            <w:shd w:val="clear" w:color="auto" w:fill="auto"/>
          </w:tcPr>
          <w:p w14:paraId="2934736D" w14:textId="77777777" w:rsidR="00F550B4" w:rsidRDefault="00F550B4" w:rsidP="004056C4">
            <w:pPr>
              <w:spacing w:before="120"/>
              <w:rPr>
                <w:rFonts w:cstheme="minorHAnsi"/>
                <w:i/>
                <w:iCs/>
              </w:rPr>
            </w:pPr>
            <w:r w:rsidRPr="00E54542">
              <w:rPr>
                <w:rFonts w:cstheme="minorHAnsi"/>
                <w:i/>
                <w:iCs/>
              </w:rPr>
              <w:t>That to minimise the risk of occurrence of seismic events during hydraulic fracturing operations, a traffic light system for measured seismic intensity, similar to that in the UK, be implemented.</w:t>
            </w:r>
          </w:p>
          <w:p w14:paraId="4C3CBA39" w14:textId="1F4B5CD1" w:rsidR="00F550B4" w:rsidRPr="00520C23" w:rsidRDefault="00F550B4" w:rsidP="004056C4">
            <w:pPr>
              <w:spacing w:before="120"/>
              <w:rPr>
                <w:rFonts w:cstheme="minorHAnsi"/>
                <w:i/>
                <w:iCs/>
              </w:rPr>
            </w:pPr>
          </w:p>
        </w:tc>
        <w:tc>
          <w:tcPr>
            <w:tcW w:w="11430" w:type="dxa"/>
            <w:gridSpan w:val="2"/>
            <w:shd w:val="clear" w:color="auto" w:fill="auto"/>
          </w:tcPr>
          <w:p w14:paraId="6840D5B8" w14:textId="77777777" w:rsidR="00F550B4" w:rsidRPr="00E54542" w:rsidRDefault="00F550B4" w:rsidP="00E54542">
            <w:pPr>
              <w:spacing w:before="120"/>
              <w:rPr>
                <w:rFonts w:cstheme="minorHAnsi"/>
                <w:lang w:val="en-US"/>
              </w:rPr>
            </w:pPr>
            <w:r w:rsidRPr="00E54542">
              <w:rPr>
                <w:rFonts w:cstheme="minorHAnsi"/>
                <w:lang w:val="en-US"/>
              </w:rPr>
              <w:t>An </w:t>
            </w:r>
            <w:hyperlink r:id="rId22" w:history="1">
              <w:r w:rsidRPr="00E54542">
                <w:rPr>
                  <w:rStyle w:val="Hyperlink"/>
                  <w:rFonts w:cstheme="minorHAnsi"/>
                  <w:lang w:val="en-US"/>
                </w:rPr>
                <w:t>Induced Seismicity Management Guideline 2022</w:t>
              </w:r>
            </w:hyperlink>
            <w:r w:rsidRPr="00E54542">
              <w:rPr>
                <w:rFonts w:cstheme="minorHAnsi"/>
                <w:lang w:val="en-US"/>
              </w:rPr>
              <w:t> (Guideline) has been developed in conjunction with Geoscience Australia. In December 2022, the Minister for Resources directed that all petroleum interest holders must legally comply with the Guideline.</w:t>
            </w:r>
          </w:p>
          <w:p w14:paraId="1A53DCAC" w14:textId="77777777" w:rsidR="00F550B4" w:rsidRPr="00E54542" w:rsidRDefault="00F550B4" w:rsidP="00E54542">
            <w:pPr>
              <w:spacing w:before="120"/>
              <w:rPr>
                <w:rFonts w:cstheme="minorHAnsi"/>
                <w:lang w:val="en-US"/>
              </w:rPr>
            </w:pPr>
            <w:r w:rsidRPr="00E54542">
              <w:rPr>
                <w:rFonts w:cstheme="minorHAnsi"/>
                <w:lang w:val="en-US"/>
              </w:rPr>
              <w:t>The Guideline requires compliance with an individually assessed and approved Induced Seismicity Management Plan (ISMP) that details the appropriate installation of at least 2 ground motion accelerometers per drilling pad to measure seismic events during hydraulic fracturing operations.</w:t>
            </w:r>
          </w:p>
          <w:p w14:paraId="1E456A62" w14:textId="77777777" w:rsidR="00F550B4" w:rsidRPr="00E54542" w:rsidRDefault="00F550B4" w:rsidP="00E54542">
            <w:pPr>
              <w:spacing w:before="120"/>
              <w:rPr>
                <w:rFonts w:cstheme="minorHAnsi"/>
                <w:lang w:val="en-US"/>
              </w:rPr>
            </w:pPr>
            <w:r w:rsidRPr="00E54542">
              <w:rPr>
                <w:rFonts w:cstheme="minorHAnsi"/>
                <w:lang w:val="en-US"/>
              </w:rPr>
              <w:t>The Guideline specifies the operational and reporting responses to peak ground acceleration trigger ‘traffic light’ levels should they occur. These may involve immediately ceasing operations. ISMPs will become a standard requirement of a Well Operation Management when amendments </w:t>
            </w:r>
            <w:r w:rsidRPr="00E54542">
              <w:rPr>
                <w:rFonts w:cstheme="minorHAnsi"/>
                <w:i/>
                <w:iCs/>
                <w:lang w:val="en-US"/>
              </w:rPr>
              <w:t>Petroleum Act 1984</w:t>
            </w:r>
            <w:r w:rsidRPr="00E54542">
              <w:rPr>
                <w:rFonts w:cstheme="minorHAnsi"/>
                <w:lang w:val="en-US"/>
              </w:rPr>
              <w:t> commence.</w:t>
            </w:r>
          </w:p>
          <w:p w14:paraId="16D03E40" w14:textId="77777777" w:rsidR="00F550B4" w:rsidRPr="00520C23" w:rsidRDefault="00F550B4" w:rsidP="00DB2444">
            <w:pPr>
              <w:spacing w:before="120"/>
              <w:rPr>
                <w:rFonts w:cstheme="minorHAnsi"/>
              </w:rPr>
            </w:pPr>
          </w:p>
        </w:tc>
        <w:tc>
          <w:tcPr>
            <w:tcW w:w="5310" w:type="dxa"/>
            <w:shd w:val="clear" w:color="auto" w:fill="E2EFD9" w:themeFill="accent6" w:themeFillTint="33"/>
          </w:tcPr>
          <w:p w14:paraId="4DF0C868" w14:textId="4A988144" w:rsidR="00F550B4" w:rsidRPr="00520C23" w:rsidRDefault="00F550B4" w:rsidP="00DE0DE2">
            <w:pPr>
              <w:spacing w:before="120"/>
              <w:rPr>
                <w:rFonts w:cstheme="minorHAnsi"/>
              </w:rPr>
            </w:pPr>
            <w:r>
              <w:rPr>
                <w:rFonts w:cstheme="minorHAnsi"/>
              </w:rPr>
              <w:t>This recommendation has been implemented.</w:t>
            </w:r>
          </w:p>
        </w:tc>
      </w:tr>
      <w:tr w:rsidR="00EA3C33" w:rsidRPr="00520C23" w14:paraId="196CE25D" w14:textId="1E399B66" w:rsidTr="00EA3C33">
        <w:tc>
          <w:tcPr>
            <w:tcW w:w="846" w:type="dxa"/>
            <w:shd w:val="clear" w:color="auto" w:fill="auto"/>
          </w:tcPr>
          <w:p w14:paraId="0529124F" w14:textId="77777777" w:rsidR="000B089B" w:rsidRPr="00520C23" w:rsidRDefault="000B089B" w:rsidP="00C2239A">
            <w:pPr>
              <w:spacing w:before="120"/>
              <w:jc w:val="center"/>
              <w:rPr>
                <w:rFonts w:cstheme="minorHAnsi"/>
              </w:rPr>
            </w:pPr>
            <w:r w:rsidRPr="00520C23">
              <w:rPr>
                <w:rFonts w:cstheme="minorHAnsi"/>
              </w:rPr>
              <w:lastRenderedPageBreak/>
              <w:t>7.1</w:t>
            </w:r>
          </w:p>
        </w:tc>
        <w:tc>
          <w:tcPr>
            <w:tcW w:w="4819" w:type="dxa"/>
            <w:shd w:val="clear" w:color="auto" w:fill="auto"/>
          </w:tcPr>
          <w:p w14:paraId="3CD6D9C3" w14:textId="7644FBD3" w:rsidR="000B089B" w:rsidRPr="00520C23" w:rsidRDefault="000B089B" w:rsidP="00C2239A">
            <w:pPr>
              <w:spacing w:before="120"/>
              <w:rPr>
                <w:rFonts w:cstheme="minorHAnsi"/>
                <w:i/>
                <w:iCs/>
              </w:rPr>
            </w:pPr>
            <w:r w:rsidRPr="00520C23">
              <w:rPr>
                <w:rFonts w:cstheme="minorHAnsi"/>
                <w:i/>
                <w:iCs/>
              </w:rPr>
              <w:t xml:space="preserve">That the Water Act be amended prior to the grant of any further exploration approvals </w:t>
            </w:r>
            <w:r w:rsidRPr="00520C23">
              <w:rPr>
                <w:rFonts w:cstheme="minorHAnsi"/>
                <w:b/>
                <w:bCs/>
                <w:i/>
                <w:iCs/>
              </w:rPr>
              <w:t>to require gas companies to obtain water extraction licences</w:t>
            </w:r>
            <w:r w:rsidRPr="00520C23">
              <w:rPr>
                <w:rFonts w:cstheme="minorHAnsi"/>
                <w:i/>
                <w:iCs/>
              </w:rPr>
              <w:t xml:space="preserve"> under that Act. </w:t>
            </w:r>
          </w:p>
        </w:tc>
        <w:tc>
          <w:tcPr>
            <w:tcW w:w="5760" w:type="dxa"/>
            <w:shd w:val="clear" w:color="auto" w:fill="auto"/>
          </w:tcPr>
          <w:p w14:paraId="59064E27" w14:textId="3512D883" w:rsidR="000B089B" w:rsidRPr="00520C23" w:rsidRDefault="71FFE2D4" w:rsidP="002A31A5">
            <w:pPr>
              <w:spacing w:before="120"/>
              <w:rPr>
                <w:rFonts w:ascii="Calibri" w:eastAsia="Calibri" w:hAnsi="Calibri" w:cs="Calibri"/>
                <w:color w:val="313131"/>
              </w:rPr>
            </w:pPr>
            <w:r w:rsidRPr="00520C23">
              <w:rPr>
                <w:rFonts w:ascii="Calibri" w:eastAsia="Calibri" w:hAnsi="Calibri" w:cs="Calibri"/>
                <w:color w:val="313131"/>
              </w:rPr>
              <w:t xml:space="preserve">The </w:t>
            </w:r>
            <w:r w:rsidRPr="00520C23">
              <w:rPr>
                <w:rFonts w:ascii="Calibri" w:eastAsia="Calibri" w:hAnsi="Calibri" w:cs="Calibri"/>
                <w:i/>
                <w:iCs/>
                <w:color w:val="313131"/>
              </w:rPr>
              <w:t>Water Act 1992</w:t>
            </w:r>
            <w:r w:rsidRPr="00520C23">
              <w:rPr>
                <w:rFonts w:ascii="Calibri" w:eastAsia="Calibri" w:hAnsi="Calibri" w:cs="Calibri"/>
                <w:color w:val="313131"/>
              </w:rPr>
              <w:t xml:space="preserve"> was amended to remove the exemption apply to the petroleum and ancillary activities and the changes commenced on 31 December 2018. Groundwater extraction for petroleum and ancillary activities now requires a water extraction licence and is regulated under the </w:t>
            </w:r>
            <w:r w:rsidRPr="00520C23">
              <w:rPr>
                <w:rFonts w:ascii="Calibri" w:eastAsia="Calibri" w:hAnsi="Calibri" w:cs="Calibri"/>
                <w:i/>
                <w:iCs/>
                <w:color w:val="313131"/>
              </w:rPr>
              <w:t>Water Act 1992</w:t>
            </w:r>
            <w:r w:rsidRPr="00520C23">
              <w:rPr>
                <w:rFonts w:ascii="Calibri" w:eastAsia="Calibri" w:hAnsi="Calibri" w:cs="Calibri"/>
                <w:color w:val="313131"/>
              </w:rPr>
              <w:t>.</w:t>
            </w:r>
          </w:p>
        </w:tc>
        <w:tc>
          <w:tcPr>
            <w:tcW w:w="5670" w:type="dxa"/>
            <w:shd w:val="clear" w:color="auto" w:fill="auto"/>
          </w:tcPr>
          <w:p w14:paraId="7A9B4D82" w14:textId="783A2B33" w:rsidR="000B089B" w:rsidRPr="00520C23" w:rsidRDefault="000B089B" w:rsidP="002A31A5">
            <w:pPr>
              <w:spacing w:before="120"/>
              <w:rPr>
                <w:rFonts w:cstheme="minorHAnsi"/>
              </w:rPr>
            </w:pPr>
            <w:r w:rsidRPr="00520C23">
              <w:rPr>
                <w:rFonts w:cstheme="minorHAnsi"/>
                <w:b/>
                <w:i/>
                <w:iCs/>
              </w:rPr>
              <w:t>Water Legislation Amendment Bill 2018</w:t>
            </w:r>
            <w:r w:rsidRPr="00520C23">
              <w:rPr>
                <w:rFonts w:cstheme="minorHAnsi"/>
              </w:rPr>
              <w:t xml:space="preserve"> removed the exemption for the petroleum and mining industries from the requirement for a water extraction licence under the </w:t>
            </w:r>
            <w:r w:rsidRPr="00520C23">
              <w:rPr>
                <w:rFonts w:cstheme="minorHAnsi"/>
                <w:i/>
                <w:iCs/>
              </w:rPr>
              <w:t>Water Act 1992</w:t>
            </w:r>
            <w:r w:rsidRPr="00520C23">
              <w:rPr>
                <w:rFonts w:cstheme="minorHAnsi"/>
              </w:rPr>
              <w:t>.</w:t>
            </w:r>
            <w:r w:rsidR="00B13284" w:rsidRPr="00520C23">
              <w:rPr>
                <w:rFonts w:cstheme="minorHAnsi"/>
              </w:rPr>
              <w:t xml:space="preserve"> </w:t>
            </w:r>
            <w:r w:rsidR="009C61F9" w:rsidRPr="00520C23">
              <w:rPr>
                <w:rFonts w:cstheme="minorHAnsi"/>
              </w:rPr>
              <w:t>The latest amendments to the Act and its regulations were finali</w:t>
            </w:r>
            <w:r w:rsidR="00F37E5D">
              <w:rPr>
                <w:rFonts w:cstheme="minorHAnsi"/>
              </w:rPr>
              <w:t>s</w:t>
            </w:r>
            <w:r w:rsidR="009C61F9" w:rsidRPr="00520C23">
              <w:rPr>
                <w:rFonts w:cstheme="minorHAnsi"/>
              </w:rPr>
              <w:t>ed on September 29, 2021.</w:t>
            </w:r>
          </w:p>
          <w:p w14:paraId="566801B3" w14:textId="54A3A243" w:rsidR="000B089B" w:rsidRPr="00520C23" w:rsidRDefault="000B089B" w:rsidP="00C2239A">
            <w:pPr>
              <w:spacing w:before="120"/>
              <w:rPr>
                <w:rFonts w:cstheme="minorHAnsi"/>
              </w:rPr>
            </w:pPr>
          </w:p>
        </w:tc>
        <w:tc>
          <w:tcPr>
            <w:tcW w:w="5310" w:type="dxa"/>
            <w:shd w:val="clear" w:color="auto" w:fill="E2EFD9" w:themeFill="accent6" w:themeFillTint="33"/>
          </w:tcPr>
          <w:p w14:paraId="4785E636" w14:textId="05E3BB15" w:rsidR="00C849AC" w:rsidRPr="00520C23" w:rsidRDefault="00C849AC" w:rsidP="00C849AC">
            <w:pPr>
              <w:spacing w:before="120"/>
              <w:rPr>
                <w:iCs/>
              </w:rPr>
            </w:pPr>
            <w:r w:rsidRPr="00520C23">
              <w:rPr>
                <w:iCs/>
              </w:rPr>
              <w:t xml:space="preserve">The Code adequately addresses recommendation 5.3. </w:t>
            </w:r>
          </w:p>
          <w:p w14:paraId="4A47A807" w14:textId="73A08756" w:rsidR="00C849AC" w:rsidRPr="00520C23" w:rsidRDefault="00C849AC" w:rsidP="00F37AF4">
            <w:pPr>
              <w:spacing w:before="120"/>
              <w:rPr>
                <w:i/>
                <w:iCs/>
                <w:u w:val="single"/>
              </w:rPr>
            </w:pPr>
            <w:r w:rsidRPr="00520C23">
              <w:rPr>
                <w:i/>
                <w:iCs/>
                <w:u w:val="single"/>
              </w:rPr>
              <w:t>Comments</w:t>
            </w:r>
          </w:p>
          <w:p w14:paraId="0E6BF5A5" w14:textId="1A3373F6" w:rsidR="003D70BA" w:rsidRPr="00520C23" w:rsidRDefault="00C849AC" w:rsidP="009437DC">
            <w:pPr>
              <w:pStyle w:val="ListParagraph"/>
              <w:numPr>
                <w:ilvl w:val="0"/>
                <w:numId w:val="11"/>
              </w:numPr>
              <w:spacing w:before="120"/>
            </w:pPr>
            <w:r w:rsidRPr="00520C23">
              <w:t>Existing</w:t>
            </w:r>
            <w:r w:rsidR="000B089B" w:rsidRPr="00520C23">
              <w:t xml:space="preserve"> deficiencies in the </w:t>
            </w:r>
            <w:r w:rsidR="000B089B" w:rsidRPr="00520C23">
              <w:rPr>
                <w:i/>
                <w:iCs/>
              </w:rPr>
              <w:t>Water Act’s</w:t>
            </w:r>
            <w:r w:rsidR="000B089B" w:rsidRPr="00520C23">
              <w:t xml:space="preserve"> licensing provisions mean that there is limited transparency and accountability surrounding the water licensing process.</w:t>
            </w:r>
          </w:p>
          <w:p w14:paraId="3B782FCD" w14:textId="28ED9199" w:rsidR="00EC29D6" w:rsidRPr="00520C23" w:rsidRDefault="00976A39" w:rsidP="009437DC">
            <w:pPr>
              <w:pStyle w:val="ListParagraph"/>
              <w:numPr>
                <w:ilvl w:val="0"/>
                <w:numId w:val="11"/>
              </w:numPr>
              <w:spacing w:before="120"/>
              <w:rPr>
                <w:rFonts w:cstheme="minorHAnsi"/>
              </w:rPr>
            </w:pPr>
            <w:r w:rsidRPr="00520C23">
              <w:rPr>
                <w:rFonts w:cstheme="minorHAnsi"/>
              </w:rPr>
              <w:t>For example, under Part 6A</w:t>
            </w:r>
            <w:r w:rsidR="00106903" w:rsidRPr="00520C23">
              <w:rPr>
                <w:rFonts w:cstheme="minorHAnsi"/>
              </w:rPr>
              <w:t xml:space="preserve"> of the </w:t>
            </w:r>
            <w:r w:rsidR="00106903" w:rsidRPr="00520C23">
              <w:rPr>
                <w:rFonts w:cstheme="minorHAnsi"/>
                <w:i/>
                <w:iCs/>
              </w:rPr>
              <w:t>Water Act 1992</w:t>
            </w:r>
            <w:r w:rsidRPr="00520C23">
              <w:rPr>
                <w:rFonts w:cstheme="minorHAnsi"/>
              </w:rPr>
              <w:t>, “</w:t>
            </w:r>
            <w:r w:rsidRPr="00520C23">
              <w:rPr>
                <w:rFonts w:cstheme="minorHAnsi"/>
                <w:i/>
                <w:iCs/>
              </w:rPr>
              <w:t>Water extraction licence decisions</w:t>
            </w:r>
            <w:r w:rsidRPr="00520C23">
              <w:rPr>
                <w:rFonts w:cstheme="minorHAnsi"/>
              </w:rPr>
              <w:t>,”</w:t>
            </w:r>
            <w:r w:rsidR="00106903" w:rsidRPr="00520C23">
              <w:rPr>
                <w:rFonts w:cstheme="minorHAnsi"/>
              </w:rPr>
              <w:t xml:space="preserve"> the </w:t>
            </w:r>
            <w:r w:rsidR="004B3905" w:rsidRPr="00520C23">
              <w:rPr>
                <w:rFonts w:cstheme="minorHAnsi"/>
              </w:rPr>
              <w:t>Controller is required to give notice of the Control</w:t>
            </w:r>
            <w:r w:rsidR="00337BA7" w:rsidRPr="00520C23">
              <w:rPr>
                <w:rFonts w:cstheme="minorHAnsi"/>
              </w:rPr>
              <w:t>l</w:t>
            </w:r>
            <w:r w:rsidR="004B3905" w:rsidRPr="00520C23">
              <w:rPr>
                <w:rFonts w:cstheme="minorHAnsi"/>
              </w:rPr>
              <w:t xml:space="preserve">er’s </w:t>
            </w:r>
            <w:r w:rsidR="00433EC0" w:rsidRPr="00520C23">
              <w:rPr>
                <w:rFonts w:cstheme="minorHAnsi"/>
              </w:rPr>
              <w:t>“</w:t>
            </w:r>
            <w:r w:rsidR="00433EC0" w:rsidRPr="00520C23">
              <w:rPr>
                <w:rFonts w:cstheme="minorHAnsi"/>
                <w:i/>
                <w:iCs/>
              </w:rPr>
              <w:t>intention to make a water extraction licence decision</w:t>
            </w:r>
            <w:r w:rsidR="00433EC0" w:rsidRPr="00520C23">
              <w:rPr>
                <w:rFonts w:cstheme="minorHAnsi"/>
              </w:rPr>
              <w:t xml:space="preserve">” </w:t>
            </w:r>
            <w:r w:rsidR="008D4F18" w:rsidRPr="00520C23">
              <w:rPr>
                <w:rFonts w:cstheme="minorHAnsi"/>
              </w:rPr>
              <w:t>within 20 days after the application is lodged “</w:t>
            </w:r>
            <w:r w:rsidR="008D4F18" w:rsidRPr="00520C23">
              <w:rPr>
                <w:rFonts w:cstheme="minorHAnsi"/>
                <w:i/>
                <w:iCs/>
              </w:rPr>
              <w:t>in a newspaper circulating the general locality to which the application relates</w:t>
            </w:r>
            <w:r w:rsidR="00870C8C" w:rsidRPr="00520C23">
              <w:rPr>
                <w:rFonts w:cstheme="minorHAnsi"/>
              </w:rPr>
              <w:t>”</w:t>
            </w:r>
            <w:r w:rsidR="008D4F18" w:rsidRPr="00520C23">
              <w:rPr>
                <w:rFonts w:cstheme="minorHAnsi"/>
              </w:rPr>
              <w:t xml:space="preserve"> (Section 71B). The same </w:t>
            </w:r>
            <w:r w:rsidR="00A707A5" w:rsidRPr="00520C23">
              <w:rPr>
                <w:rFonts w:cstheme="minorHAnsi"/>
              </w:rPr>
              <w:t>process is used to advertise a decision on the licence (</w:t>
            </w:r>
            <w:r w:rsidR="002B47F4" w:rsidRPr="00520C23">
              <w:rPr>
                <w:rFonts w:cstheme="minorHAnsi"/>
              </w:rPr>
              <w:t xml:space="preserve">Section 71D). </w:t>
            </w:r>
            <w:r w:rsidR="007860B3" w:rsidRPr="00520C23">
              <w:rPr>
                <w:rFonts w:cstheme="minorHAnsi"/>
              </w:rPr>
              <w:t xml:space="preserve">Placing a notice in a single </w:t>
            </w:r>
            <w:r w:rsidR="00BB5E89" w:rsidRPr="00520C23">
              <w:rPr>
                <w:rFonts w:cstheme="minorHAnsi"/>
              </w:rPr>
              <w:t>news</w:t>
            </w:r>
            <w:r w:rsidR="007860B3" w:rsidRPr="00520C23">
              <w:rPr>
                <w:rFonts w:cstheme="minorHAnsi"/>
              </w:rPr>
              <w:t>paper does not seem to be a modern</w:t>
            </w:r>
            <w:r w:rsidR="00BB5E89" w:rsidRPr="00520C23">
              <w:rPr>
                <w:rFonts w:cstheme="minorHAnsi"/>
              </w:rPr>
              <w:t xml:space="preserve"> or </w:t>
            </w:r>
            <w:r w:rsidR="00EC29D6" w:rsidRPr="00520C23">
              <w:rPr>
                <w:rFonts w:cstheme="minorHAnsi"/>
              </w:rPr>
              <w:t>effective</w:t>
            </w:r>
            <w:r w:rsidR="007860B3" w:rsidRPr="00520C23">
              <w:rPr>
                <w:rFonts w:cstheme="minorHAnsi"/>
              </w:rPr>
              <w:t xml:space="preserve"> </w:t>
            </w:r>
            <w:r w:rsidR="00BB5E89" w:rsidRPr="00520C23">
              <w:rPr>
                <w:rFonts w:cstheme="minorHAnsi"/>
              </w:rPr>
              <w:t xml:space="preserve">means of informing the public of a licence application or decision. </w:t>
            </w:r>
          </w:p>
        </w:tc>
      </w:tr>
      <w:tr w:rsidR="00EA3C33" w:rsidRPr="00520C23" w14:paraId="06CC5B5C" w14:textId="77777777" w:rsidTr="00EA3C33">
        <w:tc>
          <w:tcPr>
            <w:tcW w:w="846" w:type="dxa"/>
            <w:shd w:val="clear" w:color="auto" w:fill="auto"/>
          </w:tcPr>
          <w:p w14:paraId="524FFD3D" w14:textId="19887BB0" w:rsidR="00625036" w:rsidRPr="00520C23" w:rsidRDefault="00F478D6" w:rsidP="00625036">
            <w:pPr>
              <w:spacing w:before="120"/>
              <w:jc w:val="center"/>
              <w:rPr>
                <w:rFonts w:cstheme="minorHAnsi"/>
              </w:rPr>
            </w:pPr>
            <w:r w:rsidRPr="00520C23">
              <w:rPr>
                <w:rFonts w:cstheme="minorHAnsi"/>
              </w:rPr>
              <w:t>7.3</w:t>
            </w:r>
          </w:p>
        </w:tc>
        <w:tc>
          <w:tcPr>
            <w:tcW w:w="4819" w:type="dxa"/>
            <w:shd w:val="clear" w:color="auto" w:fill="auto"/>
          </w:tcPr>
          <w:p w14:paraId="61B2E37A" w14:textId="165CA378" w:rsidR="00F478D6" w:rsidRPr="00520C23" w:rsidRDefault="007A78D7" w:rsidP="007A78D7">
            <w:pPr>
              <w:tabs>
                <w:tab w:val="left" w:pos="3360"/>
              </w:tabs>
              <w:spacing w:before="120"/>
              <w:rPr>
                <w:rFonts w:cstheme="minorHAnsi"/>
                <w:i/>
                <w:iCs/>
              </w:rPr>
            </w:pPr>
            <w:r w:rsidRPr="00520C23">
              <w:rPr>
                <w:rFonts w:cstheme="minorHAnsi"/>
                <w:i/>
                <w:iCs/>
              </w:rPr>
              <w:t>That the Australian Government amends the EPBC Act to apply the ‘water trigger’ to onshore shale gas development.</w:t>
            </w:r>
          </w:p>
        </w:tc>
        <w:tc>
          <w:tcPr>
            <w:tcW w:w="5760" w:type="dxa"/>
            <w:shd w:val="clear" w:color="auto" w:fill="auto"/>
          </w:tcPr>
          <w:p w14:paraId="644DB4CA" w14:textId="77777777" w:rsidR="008A7D38" w:rsidRPr="00520C23" w:rsidRDefault="008A7D38" w:rsidP="008A7D38">
            <w:pPr>
              <w:spacing w:before="120"/>
              <w:rPr>
                <w:rFonts w:ascii="Calibri" w:eastAsia="Calibri" w:hAnsi="Calibri" w:cs="Calibri"/>
                <w:color w:val="313131"/>
              </w:rPr>
            </w:pPr>
            <w:r w:rsidRPr="00520C23">
              <w:rPr>
                <w:rFonts w:ascii="Calibri" w:eastAsia="Calibri" w:hAnsi="Calibri" w:cs="Calibri"/>
                <w:color w:val="313131"/>
              </w:rPr>
              <w:t>The Independent Review of the </w:t>
            </w:r>
            <w:r w:rsidRPr="00520C23">
              <w:rPr>
                <w:rFonts w:ascii="Calibri" w:eastAsia="Calibri" w:hAnsi="Calibri" w:cs="Calibri"/>
                <w:i/>
                <w:iCs/>
                <w:color w:val="313131"/>
              </w:rPr>
              <w:t>Environment Protection and Biodiversity Conservation Act 1999</w:t>
            </w:r>
            <w:r w:rsidRPr="00520C23">
              <w:rPr>
                <w:rFonts w:ascii="Calibri" w:eastAsia="Calibri" w:hAnsi="Calibri" w:cs="Calibri"/>
                <w:color w:val="313131"/>
              </w:rPr>
              <w:t> (Cth) (the EPBC Act) was completed in October 2020. The NT Government provided a submission to the Review reiterating its expectation that the Commonwealth review will include a response to Recommendation 7.3.</w:t>
            </w:r>
          </w:p>
          <w:p w14:paraId="141D93DC" w14:textId="77777777" w:rsidR="008A7D38" w:rsidRPr="00520C23" w:rsidRDefault="008A7D38" w:rsidP="008A7D38">
            <w:pPr>
              <w:spacing w:before="120"/>
              <w:rPr>
                <w:rFonts w:ascii="Calibri" w:eastAsia="Calibri" w:hAnsi="Calibri" w:cs="Calibri"/>
                <w:color w:val="313131"/>
              </w:rPr>
            </w:pPr>
            <w:r w:rsidRPr="00520C23">
              <w:rPr>
                <w:rFonts w:ascii="Calibri" w:eastAsia="Calibri" w:hAnsi="Calibri" w:cs="Calibri"/>
                <w:color w:val="313131"/>
              </w:rPr>
              <w:t>The review recommended that the ‘water trigger’ be amended to apply only to cross-border water resources. It considered that the application of the trigger to an activity of part of a specific sector to create regulatory inconsistency.</w:t>
            </w:r>
          </w:p>
          <w:p w14:paraId="4DBE16AB" w14:textId="77777777" w:rsidR="008A7D38" w:rsidRPr="00520C23" w:rsidRDefault="008A7D38" w:rsidP="008A7D38">
            <w:pPr>
              <w:spacing w:before="120"/>
              <w:rPr>
                <w:rFonts w:ascii="Calibri" w:eastAsia="Calibri" w:hAnsi="Calibri" w:cs="Calibri"/>
                <w:color w:val="313131"/>
              </w:rPr>
            </w:pPr>
            <w:r w:rsidRPr="00520C23">
              <w:rPr>
                <w:rFonts w:ascii="Calibri" w:eastAsia="Calibri" w:hAnsi="Calibri" w:cs="Calibri"/>
                <w:color w:val="313131"/>
              </w:rPr>
              <w:t>In June 2021, the Commonwealth Government released ‘A pathway for reforming national environmental law’ outlining its proposed initial reform areas. This does not identify any reforms to the ‘water trigger’. The NT Government will continue to liaise with the Commonwealth Government regarding this matter.</w:t>
            </w:r>
          </w:p>
          <w:p w14:paraId="26CDA2C1" w14:textId="1F8D16A1" w:rsidR="00F478D6" w:rsidRPr="00520C23" w:rsidRDefault="00F478D6" w:rsidP="00025DEF">
            <w:pPr>
              <w:spacing w:before="120"/>
              <w:rPr>
                <w:rFonts w:ascii="Calibri" w:eastAsia="Calibri" w:hAnsi="Calibri" w:cs="Calibri"/>
                <w:color w:val="313131"/>
              </w:rPr>
            </w:pPr>
          </w:p>
        </w:tc>
        <w:tc>
          <w:tcPr>
            <w:tcW w:w="5670" w:type="dxa"/>
            <w:shd w:val="clear" w:color="auto" w:fill="auto"/>
          </w:tcPr>
          <w:p w14:paraId="730E5400" w14:textId="3B467BC6" w:rsidR="003A62B1" w:rsidRPr="00520C23" w:rsidRDefault="00F567D9" w:rsidP="007D79A3">
            <w:pPr>
              <w:spacing w:before="120"/>
              <w:rPr>
                <w:rFonts w:ascii="Calibri" w:eastAsia="Calibri" w:hAnsi="Calibri" w:cs="Calibri"/>
                <w:color w:val="313131"/>
              </w:rPr>
            </w:pPr>
            <w:r w:rsidRPr="00520C23">
              <w:rPr>
                <w:rFonts w:ascii="Calibri" w:eastAsia="Calibri" w:hAnsi="Calibri" w:cs="Calibri"/>
                <w:color w:val="313131"/>
              </w:rPr>
              <w:t xml:space="preserve">In regard to Recommendation 7.3, </w:t>
            </w:r>
            <w:r w:rsidR="005B57AA" w:rsidRPr="00520C23">
              <w:rPr>
                <w:rFonts w:ascii="Calibri" w:eastAsia="Calibri" w:hAnsi="Calibri" w:cs="Calibri"/>
                <w:color w:val="313131"/>
              </w:rPr>
              <w:t>t</w:t>
            </w:r>
            <w:r w:rsidR="007D79A3" w:rsidRPr="00520C23">
              <w:rPr>
                <w:rFonts w:ascii="Calibri" w:eastAsia="Calibri" w:hAnsi="Calibri" w:cs="Calibri"/>
                <w:color w:val="313131"/>
              </w:rPr>
              <w:t xml:space="preserve">he Northern Territory Government’s submission to the </w:t>
            </w:r>
            <w:r w:rsidR="003A62B1" w:rsidRPr="00520C23">
              <w:rPr>
                <w:rFonts w:ascii="Calibri" w:eastAsia="Calibri" w:hAnsi="Calibri" w:cs="Calibri"/>
                <w:color w:val="313131"/>
              </w:rPr>
              <w:t>EPBC review</w:t>
            </w:r>
            <w:r w:rsidR="009F2418" w:rsidRPr="00520C23">
              <w:rPr>
                <w:rFonts w:ascii="Calibri" w:eastAsia="Calibri" w:hAnsi="Calibri" w:cs="Calibri"/>
                <w:color w:val="313131"/>
              </w:rPr>
              <w:t xml:space="preserve"> (April 16, 2020)</w:t>
            </w:r>
            <w:r w:rsidR="003A62B1" w:rsidRPr="00520C23">
              <w:rPr>
                <w:rFonts w:ascii="Calibri" w:eastAsia="Calibri" w:hAnsi="Calibri" w:cs="Calibri"/>
                <w:color w:val="313131"/>
              </w:rPr>
              <w:t xml:space="preserve"> state</w:t>
            </w:r>
            <w:r w:rsidR="00AB1E82" w:rsidRPr="00520C23">
              <w:rPr>
                <w:rFonts w:ascii="Calibri" w:eastAsia="Calibri" w:hAnsi="Calibri" w:cs="Calibri"/>
                <w:color w:val="313131"/>
              </w:rPr>
              <w:t>d</w:t>
            </w:r>
            <w:r w:rsidR="003A62B1" w:rsidRPr="00520C23">
              <w:rPr>
                <w:rFonts w:ascii="Calibri" w:eastAsia="Calibri" w:hAnsi="Calibri" w:cs="Calibri"/>
                <w:color w:val="313131"/>
              </w:rPr>
              <w:t>:</w:t>
            </w:r>
          </w:p>
          <w:p w14:paraId="5987F027" w14:textId="6A98356B" w:rsidR="007D79A3" w:rsidRPr="00520C23" w:rsidRDefault="003A62B1" w:rsidP="007D79A3">
            <w:pPr>
              <w:spacing w:before="120"/>
              <w:rPr>
                <w:rFonts w:cstheme="minorHAnsi"/>
              </w:rPr>
            </w:pPr>
            <w:r w:rsidRPr="00520C23">
              <w:rPr>
                <w:rFonts w:ascii="Calibri" w:eastAsia="Calibri" w:hAnsi="Calibri" w:cs="Calibri"/>
                <w:color w:val="313131"/>
              </w:rPr>
              <w:t>“</w:t>
            </w:r>
            <w:r w:rsidR="007D79A3" w:rsidRPr="00520C23">
              <w:rPr>
                <w:rFonts w:cstheme="minorHAnsi"/>
              </w:rPr>
              <w:t>The MNES water trigger intends to provide for the protection of water resources from coal seam gas development and large coal mining development. In mid-2018 the Chief Minister wrote to the Federal Minister for Environment and Energy requesting that the Australian Government considers amending the EPBC Act consistent with recommendation 7.3 from the Inquiry. It is suggested that the 'water trigger' be amended to reflect recommendation 7.3 from the Inquiry and risks to water resources more generally</w:t>
            </w:r>
            <w:r w:rsidR="006055EE" w:rsidRPr="00520C23">
              <w:rPr>
                <w:rFonts w:cstheme="minorHAnsi"/>
              </w:rPr>
              <w:t xml:space="preserve">… </w:t>
            </w:r>
            <w:r w:rsidR="007D79A3" w:rsidRPr="00520C23">
              <w:rPr>
                <w:rFonts w:cstheme="minorHAnsi"/>
              </w:rPr>
              <w:t>If a MNES water trigger is retained, it should be amended to reflect recommendation 7.3 from the Scientific Inquiry into Hydraulic Fracturing in the Northern Territory, and significant risks to water resources more generally</w:t>
            </w:r>
            <w:r w:rsidRPr="00520C23">
              <w:rPr>
                <w:rFonts w:cstheme="minorHAnsi"/>
              </w:rPr>
              <w:t>”</w:t>
            </w:r>
            <w:r w:rsidRPr="00520C23">
              <w:rPr>
                <w:rFonts w:cstheme="minorHAnsi"/>
                <w:b/>
                <w:bCs/>
              </w:rPr>
              <w:t xml:space="preserve"> </w:t>
            </w:r>
            <w:r w:rsidRPr="00520C23">
              <w:rPr>
                <w:rFonts w:cstheme="minorHAnsi"/>
              </w:rPr>
              <w:t xml:space="preserve">(5.2 of </w:t>
            </w:r>
            <w:r w:rsidR="00596099" w:rsidRPr="00520C23">
              <w:rPr>
                <w:rFonts w:cstheme="minorHAnsi"/>
              </w:rPr>
              <w:t xml:space="preserve">the Submission by the Northern Territory Government to the Review of the Environment Protection and Biodiversity Act 1999, p. 15). </w:t>
            </w:r>
          </w:p>
          <w:p w14:paraId="39E97B03" w14:textId="46ABDB36" w:rsidR="007D79A3" w:rsidRPr="00520C23" w:rsidRDefault="007D79A3" w:rsidP="00025DEF">
            <w:pPr>
              <w:spacing w:before="120"/>
              <w:rPr>
                <w:rFonts w:cstheme="minorHAnsi"/>
              </w:rPr>
            </w:pPr>
          </w:p>
        </w:tc>
        <w:tc>
          <w:tcPr>
            <w:tcW w:w="5310" w:type="dxa"/>
            <w:shd w:val="clear" w:color="auto" w:fill="FED6D6"/>
          </w:tcPr>
          <w:p w14:paraId="3062712A" w14:textId="75BCA9AA" w:rsidR="00F478D6" w:rsidRPr="00520C23" w:rsidRDefault="00C33555">
            <w:pPr>
              <w:spacing w:before="120"/>
              <w:rPr>
                <w:rFonts w:cstheme="minorHAnsi"/>
              </w:rPr>
            </w:pPr>
            <w:r w:rsidRPr="00520C23">
              <w:rPr>
                <w:rFonts w:cstheme="minorHAnsi"/>
              </w:rPr>
              <w:t xml:space="preserve">Recommendation 7.3 remains unimplemented. </w:t>
            </w:r>
          </w:p>
          <w:p w14:paraId="7B418090" w14:textId="77777777" w:rsidR="009548D0" w:rsidRPr="00520C23" w:rsidRDefault="009548D0">
            <w:pPr>
              <w:spacing w:before="120"/>
              <w:rPr>
                <w:rFonts w:cstheme="minorHAnsi"/>
                <w:i/>
                <w:iCs/>
                <w:u w:val="single"/>
              </w:rPr>
            </w:pPr>
            <w:r w:rsidRPr="00520C23">
              <w:rPr>
                <w:rFonts w:cstheme="minorHAnsi"/>
                <w:i/>
                <w:iCs/>
                <w:u w:val="single"/>
              </w:rPr>
              <w:t>Comments</w:t>
            </w:r>
          </w:p>
          <w:p w14:paraId="48323063" w14:textId="707331E4" w:rsidR="0062192F" w:rsidRPr="00520C23" w:rsidRDefault="003B488A" w:rsidP="009C78EF">
            <w:pPr>
              <w:pStyle w:val="ListParagraph"/>
              <w:numPr>
                <w:ilvl w:val="0"/>
                <w:numId w:val="92"/>
              </w:numPr>
              <w:spacing w:before="120"/>
              <w:ind w:left="373" w:hanging="373"/>
              <w:rPr>
                <w:rFonts w:cstheme="minorHAnsi"/>
              </w:rPr>
            </w:pPr>
            <w:r w:rsidRPr="00520C23">
              <w:rPr>
                <w:rFonts w:cstheme="minorHAnsi"/>
              </w:rPr>
              <w:t xml:space="preserve">The Northern Territory Government does not have complete control </w:t>
            </w:r>
            <w:r w:rsidR="007202B7" w:rsidRPr="00520C23">
              <w:rPr>
                <w:rFonts w:cstheme="minorHAnsi"/>
              </w:rPr>
              <w:t>over this recommendation</w:t>
            </w:r>
            <w:r w:rsidR="00F567D9" w:rsidRPr="00520C23">
              <w:rPr>
                <w:rFonts w:cstheme="minorHAnsi"/>
              </w:rPr>
              <w:t xml:space="preserve"> as the final decision is </w:t>
            </w:r>
            <w:r w:rsidR="0062192F" w:rsidRPr="00520C23">
              <w:rPr>
                <w:rFonts w:cstheme="minorHAnsi"/>
              </w:rPr>
              <w:t>under Commonwealth Government control</w:t>
            </w:r>
            <w:r w:rsidR="009C78EF" w:rsidRPr="00520C23">
              <w:rPr>
                <w:rFonts w:cstheme="minorHAnsi"/>
              </w:rPr>
              <w:t xml:space="preserve">. The NT Government did make </w:t>
            </w:r>
            <w:r w:rsidR="003522C7" w:rsidRPr="00520C23">
              <w:rPr>
                <w:rFonts w:cstheme="minorHAnsi"/>
              </w:rPr>
              <w:t xml:space="preserve">some effort to request implementation of recommendation via the submission </w:t>
            </w:r>
            <w:r w:rsidR="009F2418" w:rsidRPr="00520C23">
              <w:rPr>
                <w:rFonts w:cstheme="minorHAnsi"/>
              </w:rPr>
              <w:t xml:space="preserve">in April 2020 </w:t>
            </w:r>
            <w:r w:rsidR="0087481D" w:rsidRPr="00520C23">
              <w:rPr>
                <w:rFonts w:cstheme="minorHAnsi"/>
              </w:rPr>
              <w:t xml:space="preserve">to </w:t>
            </w:r>
            <w:r w:rsidR="00AC58C3" w:rsidRPr="00520C23">
              <w:rPr>
                <w:rFonts w:cstheme="minorHAnsi"/>
              </w:rPr>
              <w:t xml:space="preserve">the </w:t>
            </w:r>
            <w:r w:rsidR="00AA7186" w:rsidRPr="00520C23">
              <w:rPr>
                <w:rFonts w:cstheme="minorHAnsi"/>
              </w:rPr>
              <w:t>EPBC review</w:t>
            </w:r>
            <w:r w:rsidR="009C78EF" w:rsidRPr="00520C23">
              <w:rPr>
                <w:rFonts w:cstheme="minorHAnsi"/>
              </w:rPr>
              <w:t>, however</w:t>
            </w:r>
            <w:r w:rsidR="0087481D" w:rsidRPr="00520C23">
              <w:rPr>
                <w:rFonts w:cstheme="minorHAnsi"/>
              </w:rPr>
              <w:t xml:space="preserve">, </w:t>
            </w:r>
            <w:r w:rsidR="00450D9E" w:rsidRPr="00520C23">
              <w:rPr>
                <w:rFonts w:cstheme="minorHAnsi"/>
              </w:rPr>
              <w:t xml:space="preserve">the submission </w:t>
            </w:r>
            <w:r w:rsidR="009C78EF" w:rsidRPr="00520C23">
              <w:rPr>
                <w:rFonts w:cstheme="minorHAnsi"/>
              </w:rPr>
              <w:t xml:space="preserve">did not </w:t>
            </w:r>
            <w:r w:rsidR="00450D9E" w:rsidRPr="00520C23">
              <w:rPr>
                <w:rFonts w:cstheme="minorHAnsi"/>
              </w:rPr>
              <w:t xml:space="preserve">explicitly justify or argue for the inclusion of this provision in the water trigger beyond stating </w:t>
            </w:r>
            <w:r w:rsidR="00A1001A" w:rsidRPr="00520C23">
              <w:rPr>
                <w:rFonts w:cstheme="minorHAnsi"/>
              </w:rPr>
              <w:t>that i</w:t>
            </w:r>
            <w:r w:rsidR="00BD69FA" w:rsidRPr="00520C23">
              <w:rPr>
                <w:rFonts w:cstheme="minorHAnsi"/>
              </w:rPr>
              <w:t>t</w:t>
            </w:r>
            <w:r w:rsidR="00A1001A" w:rsidRPr="00520C23">
              <w:rPr>
                <w:rFonts w:cstheme="minorHAnsi"/>
              </w:rPr>
              <w:t xml:space="preserve"> was a</w:t>
            </w:r>
            <w:r w:rsidR="00450D9E" w:rsidRPr="00520C23">
              <w:rPr>
                <w:rFonts w:cstheme="minorHAnsi"/>
              </w:rPr>
              <w:t xml:space="preserve"> </w:t>
            </w:r>
            <w:r w:rsidR="00F554A4" w:rsidRPr="00520C23">
              <w:rPr>
                <w:rFonts w:cstheme="minorHAnsi"/>
              </w:rPr>
              <w:t>recommendation</w:t>
            </w:r>
            <w:r w:rsidR="00450D9E" w:rsidRPr="00520C23">
              <w:rPr>
                <w:rFonts w:cstheme="minorHAnsi"/>
              </w:rPr>
              <w:t xml:space="preserve"> </w:t>
            </w:r>
            <w:r w:rsidR="00A1001A" w:rsidRPr="00520C23">
              <w:rPr>
                <w:rFonts w:cstheme="minorHAnsi"/>
              </w:rPr>
              <w:t>of</w:t>
            </w:r>
            <w:r w:rsidR="00450D9E" w:rsidRPr="00520C23">
              <w:rPr>
                <w:rFonts w:cstheme="minorHAnsi"/>
              </w:rPr>
              <w:t xml:space="preserve"> the Scientific Inquiry. </w:t>
            </w:r>
          </w:p>
          <w:p w14:paraId="2D10266F" w14:textId="77777777" w:rsidR="00450D9E" w:rsidRPr="00520C23" w:rsidRDefault="009A361A" w:rsidP="009548D0">
            <w:pPr>
              <w:pStyle w:val="ListParagraph"/>
              <w:numPr>
                <w:ilvl w:val="0"/>
                <w:numId w:val="92"/>
              </w:numPr>
              <w:spacing w:before="120"/>
              <w:ind w:left="373" w:hanging="373"/>
              <w:rPr>
                <w:rFonts w:cstheme="minorHAnsi"/>
              </w:rPr>
            </w:pPr>
            <w:r w:rsidRPr="00520C23">
              <w:rPr>
                <w:rFonts w:cstheme="minorHAnsi"/>
              </w:rPr>
              <w:t xml:space="preserve">The “Implementation progress” on the </w:t>
            </w:r>
            <w:r w:rsidR="007120EB" w:rsidRPr="00520C23">
              <w:rPr>
                <w:rFonts w:cstheme="minorHAnsi"/>
              </w:rPr>
              <w:t xml:space="preserve">Hydraulic Fracturing website states that “The NT Government will continue to liaise with the Commonwealth Government regarding this matter,” but offers no concrete </w:t>
            </w:r>
            <w:r w:rsidR="00F74E89" w:rsidRPr="00520C23">
              <w:rPr>
                <w:rFonts w:cstheme="minorHAnsi"/>
              </w:rPr>
              <w:t xml:space="preserve">next steps by which this matter might be resolved. </w:t>
            </w:r>
          </w:p>
          <w:p w14:paraId="1990DE6F" w14:textId="6C46274E" w:rsidR="00765917" w:rsidRPr="00520C23" w:rsidRDefault="00930CB1" w:rsidP="009548D0">
            <w:pPr>
              <w:pStyle w:val="ListParagraph"/>
              <w:numPr>
                <w:ilvl w:val="0"/>
                <w:numId w:val="92"/>
              </w:numPr>
              <w:spacing w:before="120"/>
              <w:ind w:left="373" w:hanging="373"/>
              <w:rPr>
                <w:rFonts w:cstheme="minorHAnsi"/>
              </w:rPr>
            </w:pPr>
            <w:r w:rsidRPr="00520C23">
              <w:rPr>
                <w:rFonts w:cstheme="minorHAnsi"/>
              </w:rPr>
              <w:t>The Review</w:t>
            </w:r>
            <w:r w:rsidR="006A714F" w:rsidRPr="00520C23">
              <w:rPr>
                <w:rFonts w:cstheme="minorHAnsi"/>
              </w:rPr>
              <w:t xml:space="preserve"> </w:t>
            </w:r>
            <w:r w:rsidR="006134B3" w:rsidRPr="00520C23">
              <w:rPr>
                <w:rFonts w:cstheme="minorHAnsi"/>
              </w:rPr>
              <w:t xml:space="preserve">of the EPBC Act </w:t>
            </w:r>
            <w:r w:rsidR="0076032D" w:rsidRPr="00520C23">
              <w:rPr>
                <w:rFonts w:cstheme="minorHAnsi"/>
              </w:rPr>
              <w:t xml:space="preserve">justifies its </w:t>
            </w:r>
            <w:r w:rsidR="000367F5" w:rsidRPr="00520C23">
              <w:rPr>
                <w:rFonts w:cstheme="minorHAnsi"/>
              </w:rPr>
              <w:t>recommendation</w:t>
            </w:r>
            <w:r w:rsidR="0076032D" w:rsidRPr="00520C23">
              <w:rPr>
                <w:rFonts w:cstheme="minorHAnsi"/>
              </w:rPr>
              <w:t xml:space="preserve"> to </w:t>
            </w:r>
            <w:r w:rsidR="000367F5" w:rsidRPr="00520C23">
              <w:rPr>
                <w:rFonts w:cstheme="minorHAnsi"/>
              </w:rPr>
              <w:t>limit the water trigger to cross border</w:t>
            </w:r>
            <w:r w:rsidR="00FF45E5" w:rsidRPr="00520C23">
              <w:rPr>
                <w:rFonts w:cstheme="minorHAnsi"/>
              </w:rPr>
              <w:t xml:space="preserve"> waterways in the following way:</w:t>
            </w:r>
            <w:r w:rsidR="000367F5" w:rsidRPr="00520C23">
              <w:rPr>
                <w:rFonts w:cstheme="minorHAnsi"/>
              </w:rPr>
              <w:t xml:space="preserve"> </w:t>
            </w:r>
            <w:r w:rsidR="00FF45E5" w:rsidRPr="00520C23">
              <w:rPr>
                <w:rFonts w:cstheme="minorHAnsi"/>
              </w:rPr>
              <w:t>“</w:t>
            </w:r>
            <w:r w:rsidR="00BB372B" w:rsidRPr="00520C23">
              <w:rPr>
                <w:rFonts w:cstheme="minorHAnsi"/>
              </w:rPr>
              <w:t>The Review considers that it is not the role of the EPBC Act to regulate impacts of development on water users such as towns or agricultural users. This is the responsibility of the States and Territories and they should be clearly accountable for the decisions they make</w:t>
            </w:r>
            <w:r w:rsidR="00FF45E5" w:rsidRPr="00520C23">
              <w:rPr>
                <w:rFonts w:cstheme="minorHAnsi"/>
              </w:rPr>
              <w:t>” (</w:t>
            </w:r>
            <w:r w:rsidR="006134B3" w:rsidRPr="00520C23">
              <w:rPr>
                <w:rFonts w:cstheme="minorHAnsi"/>
                <w:i/>
                <w:iCs/>
              </w:rPr>
              <w:t>Independent Review of the EPBC Act – Final Report</w:t>
            </w:r>
            <w:r w:rsidR="006134B3" w:rsidRPr="00520C23">
              <w:rPr>
                <w:rFonts w:cstheme="minorHAnsi"/>
              </w:rPr>
              <w:t>,</w:t>
            </w:r>
            <w:r w:rsidR="006134B3" w:rsidRPr="00520C23">
              <w:rPr>
                <w:rFonts w:cstheme="minorHAnsi"/>
                <w:b/>
                <w:bCs/>
              </w:rPr>
              <w:t xml:space="preserve"> </w:t>
            </w:r>
            <w:r w:rsidR="00FF45E5" w:rsidRPr="00520C23">
              <w:rPr>
                <w:rFonts w:cstheme="minorHAnsi"/>
              </w:rPr>
              <w:t>p. 46)</w:t>
            </w:r>
            <w:r w:rsidR="006134B3" w:rsidRPr="00520C23">
              <w:rPr>
                <w:rFonts w:cstheme="minorHAnsi"/>
              </w:rPr>
              <w:t>.</w:t>
            </w:r>
            <w:r w:rsidR="00FF45E5" w:rsidRPr="00520C23">
              <w:rPr>
                <w:rFonts w:cstheme="minorHAnsi"/>
              </w:rPr>
              <w:t xml:space="preserve"> </w:t>
            </w:r>
          </w:p>
          <w:p w14:paraId="35809382" w14:textId="77777777" w:rsidR="00F74E89" w:rsidRDefault="00FF45E5" w:rsidP="009548D0">
            <w:pPr>
              <w:pStyle w:val="ListParagraph"/>
              <w:numPr>
                <w:ilvl w:val="0"/>
                <w:numId w:val="92"/>
              </w:numPr>
              <w:spacing w:before="120"/>
              <w:ind w:left="373" w:hanging="373"/>
              <w:rPr>
                <w:rFonts w:cstheme="minorHAnsi"/>
              </w:rPr>
            </w:pPr>
            <w:r w:rsidRPr="00520C23">
              <w:rPr>
                <w:rFonts w:cstheme="minorHAnsi"/>
              </w:rPr>
              <w:t>As such</w:t>
            </w:r>
            <w:r w:rsidR="006134B3" w:rsidRPr="00520C23">
              <w:rPr>
                <w:rFonts w:cstheme="minorHAnsi"/>
              </w:rPr>
              <w:t xml:space="preserve">, </w:t>
            </w:r>
            <w:r w:rsidR="00765917" w:rsidRPr="00520C23">
              <w:rPr>
                <w:rFonts w:cstheme="minorHAnsi"/>
              </w:rPr>
              <w:t xml:space="preserve">compliance with the Recommendation </w:t>
            </w:r>
            <w:r w:rsidR="00E32873" w:rsidRPr="00520C23">
              <w:rPr>
                <w:rFonts w:cstheme="minorHAnsi"/>
              </w:rPr>
              <w:t>may therefore require that the</w:t>
            </w:r>
            <w:r w:rsidR="006134B3" w:rsidRPr="00520C23">
              <w:rPr>
                <w:rFonts w:cstheme="minorHAnsi"/>
              </w:rPr>
              <w:t xml:space="preserve"> </w:t>
            </w:r>
            <w:r w:rsidR="007461AE" w:rsidRPr="00520C23">
              <w:rPr>
                <w:rFonts w:cstheme="minorHAnsi"/>
              </w:rPr>
              <w:t xml:space="preserve">Northern Territory Government </w:t>
            </w:r>
            <w:r w:rsidR="00E32873" w:rsidRPr="00520C23">
              <w:rPr>
                <w:rFonts w:cstheme="minorHAnsi"/>
              </w:rPr>
              <w:t>implement</w:t>
            </w:r>
            <w:r w:rsidR="007461AE" w:rsidRPr="00520C23">
              <w:rPr>
                <w:rFonts w:cstheme="minorHAnsi"/>
              </w:rPr>
              <w:t xml:space="preserve"> its own</w:t>
            </w:r>
            <w:r w:rsidR="00E32873" w:rsidRPr="00520C23">
              <w:rPr>
                <w:rFonts w:cstheme="minorHAnsi"/>
              </w:rPr>
              <w:t xml:space="preserve"> more</w:t>
            </w:r>
            <w:r w:rsidR="007461AE" w:rsidRPr="00520C23">
              <w:rPr>
                <w:rFonts w:cstheme="minorHAnsi"/>
              </w:rPr>
              <w:t xml:space="preserve"> rigorous </w:t>
            </w:r>
            <w:r w:rsidR="00765917" w:rsidRPr="00520C23">
              <w:rPr>
                <w:rFonts w:cstheme="minorHAnsi"/>
              </w:rPr>
              <w:lastRenderedPageBreak/>
              <w:t>assessment of surface and groundwater impacts</w:t>
            </w:r>
            <w:r w:rsidR="00E32873" w:rsidRPr="00520C23">
              <w:rPr>
                <w:rFonts w:cstheme="minorHAnsi"/>
              </w:rPr>
              <w:t xml:space="preserve"> equivalent to those used in the case of </w:t>
            </w:r>
            <w:r w:rsidR="001150D9" w:rsidRPr="00520C23">
              <w:rPr>
                <w:rFonts w:cstheme="minorHAnsi"/>
              </w:rPr>
              <w:t>the</w:t>
            </w:r>
            <w:r w:rsidR="00E32873" w:rsidRPr="00520C23">
              <w:rPr>
                <w:rFonts w:cstheme="minorHAnsi"/>
              </w:rPr>
              <w:t xml:space="preserve"> EPBC</w:t>
            </w:r>
            <w:r w:rsidR="001150D9" w:rsidRPr="00520C23">
              <w:rPr>
                <w:rFonts w:cstheme="minorHAnsi"/>
              </w:rPr>
              <w:t xml:space="preserve"> water trigger historically, rather than </w:t>
            </w:r>
            <w:r w:rsidR="00430874" w:rsidRPr="00520C23">
              <w:rPr>
                <w:rFonts w:cstheme="minorHAnsi"/>
              </w:rPr>
              <w:t xml:space="preserve">deferring to </w:t>
            </w:r>
            <w:r w:rsidR="001150D9" w:rsidRPr="00520C23">
              <w:rPr>
                <w:rFonts w:cstheme="minorHAnsi"/>
              </w:rPr>
              <w:t xml:space="preserve">the </w:t>
            </w:r>
            <w:r w:rsidR="00E465C4" w:rsidRPr="00520C23">
              <w:rPr>
                <w:rFonts w:cstheme="minorHAnsi"/>
              </w:rPr>
              <w:t>Commonwealth EPBC Act for this review.</w:t>
            </w:r>
            <w:r w:rsidR="00E32873" w:rsidRPr="00520C23">
              <w:rPr>
                <w:rFonts w:cstheme="minorHAnsi"/>
              </w:rPr>
              <w:t xml:space="preserve"> </w:t>
            </w:r>
            <w:r w:rsidR="00765917" w:rsidRPr="00520C23">
              <w:rPr>
                <w:rFonts w:cstheme="minorHAnsi"/>
              </w:rPr>
              <w:t xml:space="preserve"> </w:t>
            </w:r>
            <w:r w:rsidR="007461AE" w:rsidRPr="00520C23">
              <w:rPr>
                <w:rFonts w:cstheme="minorHAnsi"/>
              </w:rPr>
              <w:t xml:space="preserve"> </w:t>
            </w:r>
          </w:p>
          <w:p w14:paraId="4D210512" w14:textId="6F0B5153" w:rsidR="00652444" w:rsidRPr="00520C23" w:rsidRDefault="00652444" w:rsidP="009548D0">
            <w:pPr>
              <w:pStyle w:val="ListParagraph"/>
              <w:numPr>
                <w:ilvl w:val="0"/>
                <w:numId w:val="92"/>
              </w:numPr>
              <w:spacing w:before="120"/>
              <w:ind w:left="373" w:hanging="373"/>
              <w:rPr>
                <w:rFonts w:cstheme="minorHAnsi"/>
              </w:rPr>
            </w:pPr>
            <w:r>
              <w:rPr>
                <w:rFonts w:cstheme="minorHAnsi"/>
              </w:rPr>
              <w:t xml:space="preserve">As of </w:t>
            </w:r>
            <w:r w:rsidR="00D879DD">
              <w:rPr>
                <w:rFonts w:cstheme="minorHAnsi"/>
              </w:rPr>
              <w:t>March 2023</w:t>
            </w:r>
            <w:r>
              <w:rPr>
                <w:rFonts w:cstheme="minorHAnsi"/>
              </w:rPr>
              <w:t xml:space="preserve">, the target completion date remains </w:t>
            </w:r>
            <w:r w:rsidR="006B385B">
              <w:rPr>
                <w:rFonts w:cstheme="minorHAnsi"/>
              </w:rPr>
              <w:t xml:space="preserve">set </w:t>
            </w:r>
            <w:r>
              <w:rPr>
                <w:rFonts w:cstheme="minorHAnsi"/>
              </w:rPr>
              <w:t>at December 2021, while the government</w:t>
            </w:r>
            <w:r w:rsidR="004139CD">
              <w:rPr>
                <w:rFonts w:cstheme="minorHAnsi"/>
              </w:rPr>
              <w:t xml:space="preserve"> claims it is continuing to liaise with the Commonwealth Government.</w:t>
            </w:r>
          </w:p>
        </w:tc>
      </w:tr>
      <w:tr w:rsidR="00EA3C33" w:rsidRPr="00520C23" w14:paraId="09C47FC6" w14:textId="77777777" w:rsidTr="00EA3C33">
        <w:tc>
          <w:tcPr>
            <w:tcW w:w="846" w:type="dxa"/>
            <w:shd w:val="clear" w:color="auto" w:fill="auto"/>
          </w:tcPr>
          <w:p w14:paraId="5113AD32" w14:textId="168CE12D" w:rsidR="00472715" w:rsidRPr="00520C23" w:rsidRDefault="00472715" w:rsidP="00472715">
            <w:pPr>
              <w:spacing w:before="120"/>
              <w:jc w:val="center"/>
              <w:rPr>
                <w:rFonts w:cstheme="minorHAnsi"/>
              </w:rPr>
            </w:pPr>
            <w:r>
              <w:rPr>
                <w:rFonts w:cstheme="minorHAnsi"/>
              </w:rPr>
              <w:lastRenderedPageBreak/>
              <w:t>7.4</w:t>
            </w:r>
          </w:p>
        </w:tc>
        <w:tc>
          <w:tcPr>
            <w:tcW w:w="4819" w:type="dxa"/>
            <w:shd w:val="clear" w:color="auto" w:fill="auto"/>
          </w:tcPr>
          <w:p w14:paraId="7AE83F76" w14:textId="6757BE2F" w:rsidR="00472715" w:rsidRPr="00520C23" w:rsidRDefault="00472715" w:rsidP="00472715">
            <w:pPr>
              <w:tabs>
                <w:tab w:val="left" w:pos="3360"/>
              </w:tabs>
              <w:spacing w:before="120"/>
              <w:rPr>
                <w:rFonts w:cstheme="minorHAnsi"/>
                <w:i/>
                <w:iCs/>
              </w:rPr>
            </w:pPr>
            <w:r w:rsidRPr="00FF6476">
              <w:rPr>
                <w:rFonts w:cstheme="minorHAnsi"/>
                <w:i/>
                <w:iCs/>
              </w:rPr>
              <w:t>That the Government develops specific guidelines for human health and environmental risk assessments for all onshore shale gas developments consistent with the National Chemicals Risk Assessment framework, including the national guidance manual for human and environmental risk assessment for chemicals associated with CSG extraction.</w:t>
            </w:r>
          </w:p>
        </w:tc>
        <w:tc>
          <w:tcPr>
            <w:tcW w:w="5760" w:type="dxa"/>
            <w:shd w:val="clear" w:color="auto" w:fill="auto"/>
          </w:tcPr>
          <w:p w14:paraId="168996C5" w14:textId="77777777" w:rsidR="00472715" w:rsidRPr="00300C1C" w:rsidRDefault="00472715" w:rsidP="00472715">
            <w:pPr>
              <w:spacing w:before="120"/>
              <w:rPr>
                <w:rFonts w:ascii="Calibri" w:eastAsia="Calibri" w:hAnsi="Calibri" w:cs="Calibri"/>
                <w:color w:val="313131"/>
                <w:lang w:val="en-US"/>
              </w:rPr>
            </w:pPr>
            <w:r w:rsidRPr="00300C1C">
              <w:rPr>
                <w:rFonts w:ascii="Calibri" w:eastAsia="Calibri" w:hAnsi="Calibri" w:cs="Calibri"/>
                <w:color w:val="313131"/>
                <w:lang w:val="en-US"/>
              </w:rPr>
              <w:t>National guidance for human health and environmental risk assessment will be adopted by the Northern Territory and made enforceable via amendment to the </w:t>
            </w:r>
            <w:r w:rsidRPr="00300C1C">
              <w:rPr>
                <w:rFonts w:ascii="Calibri" w:eastAsia="Calibri" w:hAnsi="Calibri" w:cs="Calibri"/>
                <w:i/>
                <w:iCs/>
                <w:color w:val="313131"/>
                <w:lang w:val="en-US"/>
              </w:rPr>
              <w:t>Petroleum Act</w:t>
            </w:r>
            <w:r w:rsidRPr="00300C1C">
              <w:rPr>
                <w:rFonts w:ascii="Calibri" w:eastAsia="Calibri" w:hAnsi="Calibri" w:cs="Calibri"/>
                <w:color w:val="313131"/>
                <w:lang w:val="en-US"/>
              </w:rPr>
              <w:t> 1984 and the Petroleum (Environment) Regulations 2016.</w:t>
            </w:r>
          </w:p>
          <w:p w14:paraId="3769B266" w14:textId="77777777" w:rsidR="00472715" w:rsidRPr="00300C1C" w:rsidRDefault="00472715" w:rsidP="00472715">
            <w:pPr>
              <w:spacing w:before="120"/>
              <w:rPr>
                <w:rFonts w:ascii="Calibri" w:eastAsia="Calibri" w:hAnsi="Calibri" w:cs="Calibri"/>
                <w:color w:val="313131"/>
                <w:lang w:val="en-US"/>
              </w:rPr>
            </w:pPr>
            <w:r w:rsidRPr="00300C1C">
              <w:rPr>
                <w:rFonts w:ascii="Calibri" w:eastAsia="Calibri" w:hAnsi="Calibri" w:cs="Calibri"/>
                <w:color w:val="313131"/>
                <w:lang w:val="en-US"/>
              </w:rPr>
              <w:t>The Petroleum Legislation Amendment Bill 2022 was introduced in the Legislative Assembly on 12 October 2022, passed on 1 December 2022 and assented to on 16 December 2022. Refer to </w:t>
            </w:r>
            <w:hyperlink r:id="rId23" w:history="1">
              <w:r w:rsidRPr="00300C1C">
                <w:rPr>
                  <w:rStyle w:val="Hyperlink"/>
                  <w:rFonts w:ascii="Calibri" w:eastAsia="Calibri" w:hAnsi="Calibri" w:cs="Calibri"/>
                  <w:lang w:val="en-US"/>
                </w:rPr>
                <w:t>Special Gazette S64 PDF (182.5 KB)</w:t>
              </w:r>
            </w:hyperlink>
            <w:r w:rsidRPr="00300C1C">
              <w:rPr>
                <w:rFonts w:ascii="Calibri" w:eastAsia="Calibri" w:hAnsi="Calibri" w:cs="Calibri"/>
                <w:color w:val="313131"/>
                <w:lang w:val="en-US"/>
              </w:rPr>
              <w:t> published on 19 December 2022.</w:t>
            </w:r>
          </w:p>
          <w:p w14:paraId="6CEDBAAF" w14:textId="77777777" w:rsidR="00472715" w:rsidRPr="00300C1C" w:rsidRDefault="00472715" w:rsidP="00472715">
            <w:pPr>
              <w:spacing w:before="120"/>
              <w:rPr>
                <w:rFonts w:ascii="Calibri" w:eastAsia="Calibri" w:hAnsi="Calibri" w:cs="Calibri"/>
                <w:color w:val="313131"/>
                <w:lang w:val="en-US"/>
              </w:rPr>
            </w:pPr>
            <w:r w:rsidRPr="00300C1C">
              <w:rPr>
                <w:rFonts w:ascii="Calibri" w:eastAsia="Calibri" w:hAnsi="Calibri" w:cs="Calibri"/>
                <w:color w:val="313131"/>
                <w:lang w:val="en-US"/>
              </w:rPr>
              <w:t>Amendments to the </w:t>
            </w:r>
            <w:r w:rsidRPr="00300C1C">
              <w:rPr>
                <w:rFonts w:ascii="Calibri" w:eastAsia="Calibri" w:hAnsi="Calibri" w:cs="Calibri"/>
                <w:i/>
                <w:iCs/>
                <w:color w:val="313131"/>
                <w:lang w:val="en-US"/>
              </w:rPr>
              <w:t>Petroleum Act </w:t>
            </w:r>
            <w:r w:rsidRPr="00300C1C">
              <w:rPr>
                <w:rFonts w:ascii="Calibri" w:eastAsia="Calibri" w:hAnsi="Calibri" w:cs="Calibri"/>
                <w:color w:val="313131"/>
                <w:lang w:val="en-US"/>
              </w:rPr>
              <w:t>and </w:t>
            </w:r>
            <w:r w:rsidRPr="00300C1C">
              <w:rPr>
                <w:rFonts w:ascii="Calibri" w:eastAsia="Calibri" w:hAnsi="Calibri" w:cs="Calibri"/>
                <w:i/>
                <w:iCs/>
                <w:color w:val="313131"/>
                <w:lang w:val="en-US"/>
              </w:rPr>
              <w:t>Petroleum (Environment) Regulations 2020</w:t>
            </w:r>
            <w:r w:rsidRPr="00300C1C">
              <w:rPr>
                <w:rFonts w:ascii="Calibri" w:eastAsia="Calibri" w:hAnsi="Calibri" w:cs="Calibri"/>
                <w:color w:val="313131"/>
                <w:lang w:val="en-US"/>
              </w:rPr>
              <w:t> will establish requirements for Human Health Risk Assessments Environment Management Plans. Amendments also require that risk assessment must be in accordance with recognised national guidance for human health and environmental risk assessment.</w:t>
            </w:r>
          </w:p>
          <w:p w14:paraId="3AD78C13" w14:textId="77777777" w:rsidR="00472715" w:rsidRPr="00300C1C" w:rsidRDefault="00472715" w:rsidP="00472715">
            <w:pPr>
              <w:spacing w:before="120"/>
              <w:rPr>
                <w:rFonts w:ascii="Calibri" w:eastAsia="Calibri" w:hAnsi="Calibri" w:cs="Calibri"/>
                <w:color w:val="313131"/>
                <w:lang w:val="en-US"/>
              </w:rPr>
            </w:pPr>
          </w:p>
        </w:tc>
        <w:tc>
          <w:tcPr>
            <w:tcW w:w="5670" w:type="dxa"/>
            <w:shd w:val="clear" w:color="auto" w:fill="auto"/>
          </w:tcPr>
          <w:p w14:paraId="17BED7D9" w14:textId="77777777" w:rsidR="00472715" w:rsidRDefault="00472715" w:rsidP="00472715">
            <w:pPr>
              <w:spacing w:before="120"/>
              <w:rPr>
                <w:rFonts w:cstheme="minorHAnsi"/>
                <w:b/>
                <w:bCs/>
                <w:lang w:val="en-US"/>
              </w:rPr>
            </w:pPr>
            <w:r>
              <w:rPr>
                <w:rFonts w:cstheme="minorHAnsi"/>
                <w:b/>
                <w:bCs/>
                <w:lang w:val="en-US"/>
              </w:rPr>
              <w:t>Amendment of Petroleum (Environment) Regulations 2016</w:t>
            </w:r>
          </w:p>
          <w:p w14:paraId="0F6B6B96" w14:textId="77777777" w:rsidR="00472715" w:rsidRPr="00A17007" w:rsidRDefault="00472715" w:rsidP="00472715">
            <w:pPr>
              <w:spacing w:before="120"/>
              <w:rPr>
                <w:rFonts w:cstheme="minorHAnsi"/>
                <w:b/>
                <w:lang w:val="en-US"/>
              </w:rPr>
            </w:pPr>
            <w:r w:rsidRPr="00A17007">
              <w:rPr>
                <w:rFonts w:cstheme="minorHAnsi"/>
                <w:b/>
                <w:bCs/>
                <w:lang w:val="en-US"/>
              </w:rPr>
              <w:t xml:space="preserve">4A Human health risk assessments </w:t>
            </w:r>
          </w:p>
          <w:p w14:paraId="270B2579" w14:textId="77777777" w:rsidR="00472715" w:rsidRPr="00A17007" w:rsidRDefault="00472715" w:rsidP="00472715">
            <w:pPr>
              <w:spacing w:before="120"/>
              <w:rPr>
                <w:rFonts w:cstheme="minorHAnsi"/>
                <w:bCs/>
                <w:lang w:val="en-US"/>
              </w:rPr>
            </w:pPr>
            <w:r w:rsidRPr="00A17007">
              <w:rPr>
                <w:rFonts w:cstheme="minorHAnsi"/>
                <w:bCs/>
                <w:lang w:val="en-US"/>
              </w:rPr>
              <w:t xml:space="preserve">For these Regulations, a full human health risk assessment is an assessment that takes into account the following instruments, as in force from time to time: </w:t>
            </w:r>
          </w:p>
          <w:p w14:paraId="71A94D79" w14:textId="77777777" w:rsidR="00472715" w:rsidRPr="00A17007" w:rsidRDefault="00472715" w:rsidP="00472715">
            <w:pPr>
              <w:spacing w:before="120"/>
              <w:rPr>
                <w:rFonts w:cstheme="minorHAnsi"/>
                <w:bCs/>
                <w:lang w:val="en-US"/>
              </w:rPr>
            </w:pPr>
            <w:r w:rsidRPr="00A17007">
              <w:rPr>
                <w:rFonts w:cstheme="minorHAnsi"/>
                <w:bCs/>
                <w:lang w:val="en-US"/>
              </w:rPr>
              <w:t xml:space="preserve">(a) </w:t>
            </w:r>
            <w:r w:rsidRPr="00A17007">
              <w:rPr>
                <w:rFonts w:cstheme="minorHAnsi"/>
                <w:bCs/>
                <w:i/>
                <w:iCs/>
                <w:lang w:val="en-US"/>
              </w:rPr>
              <w:t xml:space="preserve">Environmental Health Risk Assessment: Guidelines for Assessing Human Health Risks from Environmental Hazards </w:t>
            </w:r>
            <w:r w:rsidRPr="00A17007">
              <w:rPr>
                <w:rFonts w:cstheme="minorHAnsi"/>
                <w:bCs/>
                <w:lang w:val="en-US"/>
              </w:rPr>
              <w:t xml:space="preserve">published by the Environmental Health Standing Committee; </w:t>
            </w:r>
          </w:p>
          <w:p w14:paraId="070E15D8" w14:textId="77777777" w:rsidR="00472715" w:rsidRPr="00A17007" w:rsidRDefault="00472715" w:rsidP="00472715">
            <w:pPr>
              <w:spacing w:before="120"/>
              <w:rPr>
                <w:rFonts w:cstheme="minorHAnsi"/>
                <w:bCs/>
                <w:lang w:val="en-US"/>
              </w:rPr>
            </w:pPr>
            <w:r w:rsidRPr="00A17007">
              <w:rPr>
                <w:rFonts w:cstheme="minorHAnsi"/>
                <w:bCs/>
                <w:lang w:val="en-US"/>
              </w:rPr>
              <w:t xml:space="preserve">(b) </w:t>
            </w:r>
            <w:r w:rsidRPr="00A17007">
              <w:rPr>
                <w:rFonts w:cstheme="minorHAnsi"/>
                <w:bCs/>
                <w:i/>
                <w:iCs/>
                <w:lang w:val="en-US"/>
              </w:rPr>
              <w:t xml:space="preserve">National Environment Protection (Assessment of Site Contamination) Measure 1999 </w:t>
            </w:r>
            <w:r w:rsidRPr="00A17007">
              <w:rPr>
                <w:rFonts w:cstheme="minorHAnsi"/>
                <w:bCs/>
                <w:lang w:val="en-US"/>
              </w:rPr>
              <w:t xml:space="preserve">published by the National Environment Protection Council; </w:t>
            </w:r>
          </w:p>
          <w:p w14:paraId="4268AEC0" w14:textId="77777777" w:rsidR="00472715" w:rsidRPr="00A17007" w:rsidRDefault="00472715" w:rsidP="00472715">
            <w:pPr>
              <w:spacing w:before="120"/>
              <w:rPr>
                <w:rFonts w:cstheme="minorHAnsi"/>
                <w:bCs/>
                <w:lang w:val="en-US"/>
              </w:rPr>
            </w:pPr>
            <w:r w:rsidRPr="00A17007">
              <w:rPr>
                <w:rFonts w:cstheme="minorHAnsi"/>
                <w:bCs/>
                <w:lang w:val="en-US"/>
              </w:rPr>
              <w:t xml:space="preserve">(c) </w:t>
            </w:r>
            <w:r w:rsidRPr="00A17007">
              <w:rPr>
                <w:rFonts w:cstheme="minorHAnsi"/>
                <w:bCs/>
                <w:i/>
                <w:iCs/>
                <w:lang w:val="en-US"/>
              </w:rPr>
              <w:t xml:space="preserve">National Chemical Risk Assessment Guidance Manual </w:t>
            </w:r>
            <w:r w:rsidRPr="00A17007">
              <w:rPr>
                <w:rFonts w:cstheme="minorHAnsi"/>
                <w:bCs/>
                <w:lang w:val="en-US"/>
              </w:rPr>
              <w:t xml:space="preserve">published by the National Environment Protection Council; </w:t>
            </w:r>
          </w:p>
          <w:p w14:paraId="4504C6D4" w14:textId="77777777" w:rsidR="00472715" w:rsidRDefault="00472715" w:rsidP="00472715">
            <w:pPr>
              <w:spacing w:before="120"/>
              <w:rPr>
                <w:rFonts w:cstheme="minorHAnsi"/>
                <w:bCs/>
                <w:lang w:val="en-US"/>
              </w:rPr>
            </w:pPr>
            <w:r w:rsidRPr="00A17007">
              <w:rPr>
                <w:rFonts w:cstheme="minorHAnsi"/>
                <w:bCs/>
                <w:lang w:val="en-US"/>
              </w:rPr>
              <w:t>(d) any other guideline, measure or document specified by the Minister.</w:t>
            </w:r>
          </w:p>
          <w:p w14:paraId="634C8D01" w14:textId="77777777" w:rsidR="00472715" w:rsidRPr="0038509B" w:rsidRDefault="00472715" w:rsidP="00472715">
            <w:pPr>
              <w:spacing w:before="120"/>
              <w:rPr>
                <w:rFonts w:cstheme="minorHAnsi"/>
                <w:b/>
                <w:lang w:val="en-US"/>
              </w:rPr>
            </w:pPr>
            <w:r w:rsidRPr="0038509B">
              <w:rPr>
                <w:rFonts w:cstheme="minorHAnsi"/>
                <w:b/>
                <w:lang w:val="en-US"/>
              </w:rPr>
              <w:t>Schedule 1 amended (Information to be included in environment management plan), clause 4A</w:t>
            </w:r>
          </w:p>
          <w:p w14:paraId="0ACA3EFA" w14:textId="77777777" w:rsidR="00472715" w:rsidRDefault="00472715" w:rsidP="00472715">
            <w:pPr>
              <w:spacing w:before="120"/>
              <w:rPr>
                <w:rFonts w:cstheme="minorHAnsi"/>
                <w:bCs/>
                <w:lang w:val="en-US"/>
              </w:rPr>
            </w:pPr>
            <w:r w:rsidRPr="0038509B">
              <w:rPr>
                <w:rFonts w:cstheme="minorHAnsi"/>
                <w:bCs/>
                <w:lang w:val="en-US"/>
              </w:rPr>
              <w:t>(2) A plan under subclause (1) must be accompanied by a full human health risk assessment relating to the chemicals or other substances specified in the plan.</w:t>
            </w:r>
          </w:p>
          <w:p w14:paraId="0BDEA79C" w14:textId="77777777" w:rsidR="00472715" w:rsidRDefault="00472715" w:rsidP="00472715">
            <w:pPr>
              <w:spacing w:before="120"/>
              <w:rPr>
                <w:rFonts w:cstheme="minorHAnsi"/>
                <w:b/>
                <w:lang w:val="en-US"/>
              </w:rPr>
            </w:pPr>
            <w:r>
              <w:rPr>
                <w:rFonts w:cstheme="minorHAnsi"/>
                <w:b/>
                <w:lang w:val="en-US"/>
              </w:rPr>
              <w:t xml:space="preserve">37A Report about flowback fluid </w:t>
            </w:r>
          </w:p>
          <w:p w14:paraId="77D0B448" w14:textId="77777777" w:rsidR="00472715" w:rsidRPr="00126272" w:rsidRDefault="00472715" w:rsidP="00472715">
            <w:pPr>
              <w:spacing w:before="120"/>
              <w:rPr>
                <w:rFonts w:cstheme="minorHAnsi"/>
                <w:bCs/>
                <w:lang w:val="en-US"/>
              </w:rPr>
            </w:pPr>
            <w:r w:rsidRPr="00126272">
              <w:rPr>
                <w:rFonts w:cstheme="minorHAnsi"/>
                <w:bCs/>
                <w:lang w:val="en-US"/>
              </w:rPr>
              <w:t>(2A) A report under subregulation (2) must be accompanied by a full human health risk assessment relating to any chemical found in the flowback fluid.</w:t>
            </w:r>
          </w:p>
          <w:p w14:paraId="1CA1193B" w14:textId="77777777" w:rsidR="00472715" w:rsidRPr="00F257DA" w:rsidRDefault="00472715" w:rsidP="00472715">
            <w:pPr>
              <w:spacing w:before="120"/>
              <w:rPr>
                <w:rFonts w:cstheme="minorHAnsi"/>
                <w:b/>
                <w:lang w:val="en-US"/>
              </w:rPr>
            </w:pPr>
            <w:r w:rsidRPr="00F257DA">
              <w:rPr>
                <w:rFonts w:cstheme="minorHAnsi"/>
                <w:b/>
                <w:lang w:val="en-US"/>
              </w:rPr>
              <w:t xml:space="preserve">37B Report about produced water </w:t>
            </w:r>
          </w:p>
          <w:p w14:paraId="6B51B5A3" w14:textId="77777777" w:rsidR="00472715" w:rsidRDefault="00472715" w:rsidP="00472715">
            <w:pPr>
              <w:spacing w:before="120"/>
              <w:rPr>
                <w:rFonts w:cstheme="minorHAnsi"/>
                <w:bCs/>
                <w:lang w:val="en-US"/>
              </w:rPr>
            </w:pPr>
            <w:r w:rsidRPr="00F257DA">
              <w:rPr>
                <w:rFonts w:cstheme="minorHAnsi"/>
                <w:bCs/>
                <w:lang w:val="en-US"/>
              </w:rPr>
              <w:t>(2A) A report under subregulation (2) must be accompanied by a full human health risk assessment relating to any chemical found in the produced water.</w:t>
            </w:r>
          </w:p>
          <w:p w14:paraId="7A2598A1" w14:textId="77777777" w:rsidR="00472715" w:rsidRPr="00520C23" w:rsidRDefault="00472715" w:rsidP="00472715">
            <w:pPr>
              <w:spacing w:before="120"/>
              <w:rPr>
                <w:rFonts w:ascii="Calibri" w:eastAsia="Calibri" w:hAnsi="Calibri" w:cs="Calibri"/>
                <w:color w:val="313131"/>
              </w:rPr>
            </w:pPr>
          </w:p>
        </w:tc>
        <w:tc>
          <w:tcPr>
            <w:tcW w:w="5310" w:type="dxa"/>
            <w:shd w:val="clear" w:color="auto" w:fill="FFF2CC" w:themeFill="accent4" w:themeFillTint="33"/>
          </w:tcPr>
          <w:p w14:paraId="3B731068" w14:textId="67CA19F7" w:rsidR="008C74A2" w:rsidRPr="001A2243" w:rsidRDefault="007515D8" w:rsidP="00472715">
            <w:pPr>
              <w:spacing w:before="120"/>
              <w:rPr>
                <w:rFonts w:cstheme="minorHAnsi"/>
              </w:rPr>
            </w:pPr>
            <w:r>
              <w:rPr>
                <w:rFonts w:cstheme="minorHAnsi"/>
              </w:rPr>
              <w:t xml:space="preserve">This recommendation has been partially implemented. </w:t>
            </w:r>
            <w:r w:rsidR="001A2243">
              <w:rPr>
                <w:rFonts w:cstheme="minorHAnsi"/>
              </w:rPr>
              <w:t xml:space="preserve">Whereas the recommendation refers more generally to the National Chemical Risks Assessment </w:t>
            </w:r>
            <w:r w:rsidR="001A2243">
              <w:rPr>
                <w:rFonts w:cstheme="minorHAnsi"/>
                <w:i/>
                <w:iCs/>
              </w:rPr>
              <w:t>framework</w:t>
            </w:r>
            <w:r w:rsidR="00A84D5B">
              <w:rPr>
                <w:rFonts w:cstheme="minorHAnsi"/>
              </w:rPr>
              <w:t>*,</w:t>
            </w:r>
            <w:r w:rsidR="001A2243">
              <w:rPr>
                <w:rFonts w:cstheme="minorHAnsi"/>
              </w:rPr>
              <w:t xml:space="preserve"> the </w:t>
            </w:r>
            <w:r w:rsidR="00B111DA">
              <w:rPr>
                <w:rFonts w:cstheme="minorHAnsi"/>
              </w:rPr>
              <w:t>Petroleum Legislation Amendment Bill 2022 requires compliance only with the “National Chemical Risk Assessment Guidance Manual</w:t>
            </w:r>
            <w:r w:rsidR="005967E8">
              <w:rPr>
                <w:rFonts w:cstheme="minorHAnsi"/>
              </w:rPr>
              <w:t xml:space="preserve"> </w:t>
            </w:r>
            <w:r w:rsidR="005967E8" w:rsidRPr="00A17007">
              <w:rPr>
                <w:rFonts w:cstheme="minorHAnsi"/>
                <w:bCs/>
                <w:lang w:val="en-US"/>
              </w:rPr>
              <w:t>published by the National Environment Protection Council</w:t>
            </w:r>
            <w:r w:rsidR="005967E8">
              <w:rPr>
                <w:rFonts w:cstheme="minorHAnsi"/>
                <w:bCs/>
                <w:lang w:val="en-US"/>
              </w:rPr>
              <w:t xml:space="preserve">.” </w:t>
            </w:r>
            <w:r w:rsidR="001155E8">
              <w:rPr>
                <w:rFonts w:cstheme="minorHAnsi"/>
                <w:bCs/>
                <w:lang w:val="en-US"/>
              </w:rPr>
              <w:t xml:space="preserve">The NEPC published two guidance manuals in 2009. </w:t>
            </w:r>
            <w:r>
              <w:rPr>
                <w:rFonts w:cstheme="minorHAnsi"/>
                <w:bCs/>
                <w:lang w:val="en-US"/>
              </w:rPr>
              <w:t xml:space="preserve">It may be that </w:t>
            </w:r>
            <w:r w:rsidR="00471259">
              <w:rPr>
                <w:rFonts w:cstheme="minorHAnsi"/>
                <w:bCs/>
                <w:lang w:val="en-US"/>
              </w:rPr>
              <w:t xml:space="preserve">the statutory </w:t>
            </w:r>
            <w:r>
              <w:rPr>
                <w:rFonts w:cstheme="minorHAnsi"/>
                <w:bCs/>
                <w:lang w:val="en-US"/>
              </w:rPr>
              <w:t xml:space="preserve">language refers </w:t>
            </w:r>
            <w:r w:rsidR="00471259">
              <w:rPr>
                <w:rFonts w:cstheme="minorHAnsi"/>
                <w:bCs/>
                <w:lang w:val="en-US"/>
              </w:rPr>
              <w:t xml:space="preserve">more </w:t>
            </w:r>
            <w:r>
              <w:rPr>
                <w:rFonts w:cstheme="minorHAnsi"/>
                <w:bCs/>
                <w:lang w:val="en-US"/>
              </w:rPr>
              <w:t>broadly</w:t>
            </w:r>
            <w:r w:rsidR="001155E8">
              <w:rPr>
                <w:rFonts w:cstheme="minorHAnsi"/>
                <w:bCs/>
                <w:lang w:val="en-US"/>
              </w:rPr>
              <w:t xml:space="preserve"> to all the resources identified in the Pepper Report, but it is unclear </w:t>
            </w:r>
            <w:r w:rsidR="00460877">
              <w:rPr>
                <w:rFonts w:cstheme="minorHAnsi"/>
                <w:bCs/>
                <w:lang w:val="en-US"/>
              </w:rPr>
              <w:t xml:space="preserve">this is the case </w:t>
            </w:r>
            <w:r w:rsidR="00871903">
              <w:rPr>
                <w:rFonts w:cstheme="minorHAnsi"/>
                <w:bCs/>
                <w:lang w:val="en-US"/>
              </w:rPr>
              <w:t>(</w:t>
            </w:r>
            <w:r w:rsidR="001155E8">
              <w:rPr>
                <w:rFonts w:cstheme="minorHAnsi"/>
                <w:bCs/>
                <w:lang w:val="en-US"/>
              </w:rPr>
              <w:t>as currently drafted</w:t>
            </w:r>
            <w:r w:rsidR="00871903">
              <w:rPr>
                <w:rFonts w:cstheme="minorHAnsi"/>
                <w:bCs/>
                <w:lang w:val="en-US"/>
              </w:rPr>
              <w:t>)</w:t>
            </w:r>
            <w:r w:rsidR="001155E8">
              <w:rPr>
                <w:rFonts w:cstheme="minorHAnsi"/>
                <w:bCs/>
                <w:lang w:val="en-US"/>
              </w:rPr>
              <w:t>.</w:t>
            </w:r>
            <w:r>
              <w:rPr>
                <w:rFonts w:cstheme="minorHAnsi"/>
                <w:bCs/>
                <w:lang w:val="en-US"/>
              </w:rPr>
              <w:t xml:space="preserve"> </w:t>
            </w:r>
            <w:r w:rsidR="00B111DA">
              <w:rPr>
                <w:rFonts w:cstheme="minorHAnsi"/>
              </w:rPr>
              <w:t xml:space="preserve"> </w:t>
            </w:r>
          </w:p>
          <w:p w14:paraId="57C1EF45" w14:textId="5668C22D" w:rsidR="00A84D5B" w:rsidRPr="00460877" w:rsidRDefault="00A84D5B" w:rsidP="00A84D5B">
            <w:pPr>
              <w:spacing w:before="120"/>
              <w:rPr>
                <w:rFonts w:cstheme="minorHAnsi"/>
                <w:lang w:val="en-US"/>
              </w:rPr>
            </w:pPr>
            <w:r>
              <w:rPr>
                <w:rFonts w:cstheme="minorHAnsi"/>
              </w:rPr>
              <w:t>*</w:t>
            </w:r>
            <w:r w:rsidRPr="008C74A2">
              <w:rPr>
                <w:rFonts w:cstheme="minorHAnsi"/>
                <w:b/>
                <w:bCs/>
              </w:rPr>
              <w:t xml:space="preserve"> </w:t>
            </w:r>
            <w:r w:rsidR="0098684B">
              <w:rPr>
                <w:rFonts w:cstheme="minorHAnsi"/>
              </w:rPr>
              <w:t xml:space="preserve">From the Pepper Report, it seems this </w:t>
            </w:r>
            <w:r w:rsidR="00460877">
              <w:rPr>
                <w:rFonts w:cstheme="minorHAnsi"/>
              </w:rPr>
              <w:t>“</w:t>
            </w:r>
            <w:r w:rsidR="0098684B">
              <w:rPr>
                <w:rFonts w:cstheme="minorHAnsi"/>
              </w:rPr>
              <w:t>framework</w:t>
            </w:r>
            <w:r w:rsidR="00460877">
              <w:rPr>
                <w:rFonts w:cstheme="minorHAnsi"/>
              </w:rPr>
              <w:t>”</w:t>
            </w:r>
            <w:r w:rsidR="0098684B">
              <w:rPr>
                <w:rFonts w:cstheme="minorHAnsi"/>
              </w:rPr>
              <w:t xml:space="preserve"> encompasses at least six </w:t>
            </w:r>
            <w:r w:rsidR="006E113B">
              <w:rPr>
                <w:rFonts w:cstheme="minorHAnsi"/>
              </w:rPr>
              <w:t>resources from 2017</w:t>
            </w:r>
            <w:r w:rsidR="00D81178">
              <w:rPr>
                <w:rFonts w:cstheme="minorHAnsi"/>
              </w:rPr>
              <w:t xml:space="preserve">, referenced as a footnote to </w:t>
            </w:r>
            <w:r w:rsidR="002918B8">
              <w:rPr>
                <w:rFonts w:cstheme="minorHAnsi"/>
              </w:rPr>
              <w:t>“</w:t>
            </w:r>
            <w:r w:rsidR="002918B8" w:rsidRPr="002918B8">
              <w:rPr>
                <w:rFonts w:cstheme="minorHAnsi"/>
                <w:i/>
                <w:iCs/>
                <w:lang w:val="en-US"/>
              </w:rPr>
              <w:t>Chemical Risk Assessment Guidance Manual: for chemicals associated with coal seam gas</w:t>
            </w:r>
            <w:r w:rsidR="002918B8">
              <w:rPr>
                <w:rFonts w:cstheme="minorHAnsi"/>
                <w:i/>
                <w:iCs/>
                <w:lang w:val="en-US"/>
              </w:rPr>
              <w:t xml:space="preserve"> </w:t>
            </w:r>
            <w:r w:rsidR="002918B8" w:rsidRPr="002918B8">
              <w:rPr>
                <w:rFonts w:cstheme="minorHAnsi"/>
                <w:i/>
                <w:iCs/>
                <w:lang w:val="en-US"/>
              </w:rPr>
              <w:t>extraction</w:t>
            </w:r>
            <w:r w:rsidR="002918B8" w:rsidRPr="002918B8">
              <w:rPr>
                <w:rFonts w:cstheme="minorHAnsi"/>
              </w:rPr>
              <w:t>.” Pepper Report at 130.</w:t>
            </w:r>
          </w:p>
          <w:p w14:paraId="676E5DF7" w14:textId="0D4920A0" w:rsidR="00A84D5B" w:rsidRDefault="00A84D5B" w:rsidP="00A84D5B">
            <w:pPr>
              <w:spacing w:before="120"/>
              <w:rPr>
                <w:rFonts w:cstheme="minorHAnsi"/>
              </w:rPr>
            </w:pPr>
            <w:r w:rsidRPr="008C74A2">
              <w:rPr>
                <w:rFonts w:cstheme="minorHAnsi"/>
                <w:b/>
                <w:bCs/>
              </w:rPr>
              <w:t>NOTE</w:t>
            </w:r>
            <w:r w:rsidR="009F0F4B">
              <w:rPr>
                <w:rFonts w:cstheme="minorHAnsi"/>
                <w:b/>
                <w:bCs/>
              </w:rPr>
              <w:t xml:space="preserve">: </w:t>
            </w:r>
            <w:r w:rsidR="009F0F4B" w:rsidRPr="00F547F0">
              <w:rPr>
                <w:rFonts w:cstheme="minorHAnsi"/>
              </w:rPr>
              <w:t>Only</w:t>
            </w:r>
            <w:r w:rsidRPr="009F0F4B">
              <w:rPr>
                <w:rFonts w:cstheme="minorHAnsi"/>
              </w:rPr>
              <w:t xml:space="preserve"> </w:t>
            </w:r>
            <w:r>
              <w:rPr>
                <w:rFonts w:cstheme="minorHAnsi"/>
              </w:rPr>
              <w:t xml:space="preserve">a draft form of the </w:t>
            </w:r>
            <w:hyperlink r:id="rId24" w:history="1">
              <w:r w:rsidRPr="004409F1">
                <w:rPr>
                  <w:rStyle w:val="Hyperlink"/>
                  <w:rFonts w:cstheme="minorHAnsi"/>
                  <w:i/>
                  <w:iCs/>
                </w:rPr>
                <w:t>Risk Assessment Guidance Manual: for chemicals associated with coal seam gas extraction</w:t>
              </w:r>
            </w:hyperlink>
            <w:r w:rsidR="00CA3962">
              <w:t xml:space="preserve"> appears to be publicly available.</w:t>
            </w:r>
            <w:r>
              <w:rPr>
                <w:rFonts w:cstheme="minorHAnsi"/>
              </w:rPr>
              <w:t xml:space="preserve"> </w:t>
            </w:r>
            <w:r w:rsidR="00CA3962">
              <w:rPr>
                <w:rFonts w:cstheme="minorHAnsi"/>
              </w:rPr>
              <w:t>T</w:t>
            </w:r>
            <w:r>
              <w:rPr>
                <w:rFonts w:cstheme="minorHAnsi"/>
              </w:rPr>
              <w:t xml:space="preserve">he Department of Climate Change, Energy, the Environment and Water solicited comments </w:t>
            </w:r>
            <w:r w:rsidR="00CA3962">
              <w:rPr>
                <w:rFonts w:cstheme="minorHAnsi"/>
              </w:rPr>
              <w:t xml:space="preserve">on this draft </w:t>
            </w:r>
            <w:r>
              <w:rPr>
                <w:rFonts w:cstheme="minorHAnsi"/>
              </w:rPr>
              <w:t xml:space="preserve">back in February of 2018. </w:t>
            </w:r>
          </w:p>
          <w:p w14:paraId="0F5D4FA1" w14:textId="1017CDC3" w:rsidR="00FE1E9E" w:rsidRPr="004409F1" w:rsidRDefault="00FE1E9E" w:rsidP="00472715">
            <w:pPr>
              <w:spacing w:before="120"/>
              <w:rPr>
                <w:rFonts w:cstheme="minorHAnsi"/>
              </w:rPr>
            </w:pPr>
          </w:p>
        </w:tc>
      </w:tr>
      <w:tr w:rsidR="00EA3C33" w:rsidRPr="00520C23" w14:paraId="74F176F2" w14:textId="05A4F7D4" w:rsidTr="00EA3C33">
        <w:tc>
          <w:tcPr>
            <w:tcW w:w="846" w:type="dxa"/>
            <w:shd w:val="clear" w:color="auto" w:fill="auto"/>
          </w:tcPr>
          <w:p w14:paraId="0134B912" w14:textId="4E982014" w:rsidR="00472715" w:rsidRPr="00520C23" w:rsidRDefault="00472715" w:rsidP="00472715">
            <w:pPr>
              <w:spacing w:before="120"/>
              <w:jc w:val="center"/>
              <w:rPr>
                <w:rFonts w:cstheme="minorHAnsi"/>
              </w:rPr>
            </w:pPr>
            <w:r w:rsidRPr="00520C23">
              <w:rPr>
                <w:rFonts w:cstheme="minorHAnsi"/>
              </w:rPr>
              <w:t>7.6</w:t>
            </w:r>
          </w:p>
        </w:tc>
        <w:tc>
          <w:tcPr>
            <w:tcW w:w="4819" w:type="dxa"/>
            <w:shd w:val="clear" w:color="auto" w:fill="auto"/>
          </w:tcPr>
          <w:p w14:paraId="7998C604" w14:textId="0D2F2781"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the </w:t>
            </w:r>
            <w:r w:rsidRPr="00520C23">
              <w:rPr>
                <w:rFonts w:cstheme="minorHAnsi"/>
                <w:b/>
                <w:bCs/>
                <w:i/>
                <w:iCs/>
              </w:rPr>
              <w:t>use of all surface water resources for any onshore shale gas activity in the NT be prohibited</w:t>
            </w:r>
            <w:r w:rsidRPr="00520C23">
              <w:rPr>
                <w:rFonts w:cstheme="minorHAnsi"/>
                <w:i/>
                <w:iCs/>
              </w:rPr>
              <w:t xml:space="preserve">. </w:t>
            </w:r>
          </w:p>
        </w:tc>
        <w:tc>
          <w:tcPr>
            <w:tcW w:w="5760" w:type="dxa"/>
            <w:shd w:val="clear" w:color="auto" w:fill="auto"/>
          </w:tcPr>
          <w:p w14:paraId="79B2A507" w14:textId="5D0146E1"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Amendments to the </w:t>
            </w:r>
            <w:r w:rsidRPr="00520C23">
              <w:rPr>
                <w:rFonts w:ascii="Calibri" w:eastAsia="Calibri" w:hAnsi="Calibri" w:cs="Calibri"/>
                <w:i/>
                <w:iCs/>
                <w:color w:val="313131"/>
              </w:rPr>
              <w:t>Water Act 1992</w:t>
            </w:r>
            <w:r w:rsidRPr="00520C23">
              <w:rPr>
                <w:rFonts w:ascii="Calibri" w:eastAsia="Calibri" w:hAnsi="Calibri" w:cs="Calibri"/>
                <w:color w:val="313131"/>
              </w:rPr>
              <w:t xml:space="preserve"> commenced on 19 June 2019 prohibiting the use of surface water for any petroleum and ancillary activities.</w:t>
            </w:r>
          </w:p>
        </w:tc>
        <w:tc>
          <w:tcPr>
            <w:tcW w:w="5670" w:type="dxa"/>
            <w:shd w:val="clear" w:color="auto" w:fill="auto"/>
          </w:tcPr>
          <w:p w14:paraId="5B57F0E5" w14:textId="1D5CEAF8" w:rsidR="00472715" w:rsidRPr="00520C23" w:rsidRDefault="00472715" w:rsidP="00472715">
            <w:pPr>
              <w:spacing w:before="120"/>
              <w:rPr>
                <w:rFonts w:cstheme="minorHAnsi"/>
              </w:rPr>
            </w:pPr>
            <w:r w:rsidRPr="00520C23">
              <w:rPr>
                <w:rFonts w:cstheme="minorHAnsi"/>
                <w:b/>
                <w:i/>
                <w:iCs/>
              </w:rPr>
              <w:t>Water Amendment Bill 2019</w:t>
            </w:r>
            <w:r w:rsidRPr="00520C23">
              <w:rPr>
                <w:rFonts w:cstheme="minorHAnsi"/>
              </w:rPr>
              <w:t xml:space="preserve"> inserted a prohibition on the use of surface water for fracking and associated offence into the </w:t>
            </w:r>
            <w:r w:rsidRPr="00520C23">
              <w:rPr>
                <w:rFonts w:cstheme="minorHAnsi"/>
                <w:i/>
              </w:rPr>
              <w:t>Water Act</w:t>
            </w:r>
            <w:r w:rsidRPr="00520C23">
              <w:rPr>
                <w:rFonts w:cstheme="minorHAnsi"/>
              </w:rPr>
              <w:t xml:space="preserve"> to implement this recommendation. The </w:t>
            </w:r>
            <w:r w:rsidRPr="00520C23">
              <w:rPr>
                <w:rFonts w:cstheme="minorHAnsi"/>
                <w:i/>
              </w:rPr>
              <w:t xml:space="preserve">Water Act </w:t>
            </w:r>
            <w:r w:rsidRPr="00520C23">
              <w:rPr>
                <w:rFonts w:cstheme="minorHAnsi"/>
              </w:rPr>
              <w:t xml:space="preserve">now provides in Division 2 “Taking surface water”: </w:t>
            </w:r>
          </w:p>
          <w:p w14:paraId="74CB132C" w14:textId="62791976" w:rsidR="00472715" w:rsidRPr="00520C23" w:rsidRDefault="00472715" w:rsidP="00472715">
            <w:pPr>
              <w:pStyle w:val="Default"/>
              <w:spacing w:before="120"/>
              <w:ind w:left="720"/>
              <w:rPr>
                <w:rFonts w:asciiTheme="minorHAnsi" w:hAnsiTheme="minorHAnsi" w:cstheme="minorHAnsi"/>
                <w:i/>
                <w:iCs/>
                <w:sz w:val="22"/>
                <w:szCs w:val="22"/>
                <w:lang w:val="en-AU"/>
              </w:rPr>
            </w:pPr>
            <w:r w:rsidRPr="00520C23">
              <w:rPr>
                <w:rFonts w:asciiTheme="minorHAnsi" w:hAnsiTheme="minorHAnsi" w:cstheme="minorHAnsi"/>
                <w:bCs/>
                <w:i/>
                <w:iCs/>
                <w:sz w:val="22"/>
                <w:szCs w:val="22"/>
                <w:lang w:val="en-AU"/>
              </w:rPr>
              <w:t xml:space="preserve">Section 45A: No license to take water for petroleum activity </w:t>
            </w:r>
          </w:p>
          <w:p w14:paraId="0D5E820D" w14:textId="5AD2A32D" w:rsidR="00472715" w:rsidRPr="00520C23" w:rsidRDefault="00472715" w:rsidP="00472715">
            <w:pPr>
              <w:spacing w:before="120"/>
              <w:ind w:left="720"/>
              <w:rPr>
                <w:rFonts w:cstheme="minorHAnsi"/>
                <w:i/>
                <w:iCs/>
              </w:rPr>
            </w:pPr>
            <w:r w:rsidRPr="00520C23">
              <w:rPr>
                <w:rFonts w:cstheme="minorHAnsi"/>
                <w:i/>
                <w:iCs/>
              </w:rPr>
              <w:lastRenderedPageBreak/>
              <w:t>The Controller must not grant a licence under section 45 if the proposed beneficial use of water under the licence is petroleum activity.</w:t>
            </w:r>
          </w:p>
          <w:p w14:paraId="3D0689FE" w14:textId="283D53B1" w:rsidR="00472715" w:rsidRPr="00520C23" w:rsidRDefault="00472715" w:rsidP="00472715">
            <w:pPr>
              <w:spacing w:before="120"/>
              <w:rPr>
                <w:rFonts w:cstheme="minorHAnsi"/>
              </w:rPr>
            </w:pPr>
            <w:r w:rsidRPr="00520C23">
              <w:rPr>
                <w:rFonts w:cstheme="minorHAnsi"/>
              </w:rPr>
              <w:t>Note that “water” is defined in section 43 to mean “</w:t>
            </w:r>
            <w:r w:rsidRPr="00520C23">
              <w:rPr>
                <w:rFonts w:cstheme="minorHAnsi"/>
                <w:i/>
                <w:iCs/>
              </w:rPr>
              <w:t>water flowing or contained in a waterway.</w:t>
            </w:r>
            <w:r w:rsidRPr="00520C23">
              <w:rPr>
                <w:rFonts w:cstheme="minorHAnsi"/>
              </w:rPr>
              <w:t>”</w:t>
            </w:r>
          </w:p>
        </w:tc>
        <w:tc>
          <w:tcPr>
            <w:tcW w:w="5310" w:type="dxa"/>
            <w:shd w:val="clear" w:color="auto" w:fill="E2EFD9" w:themeFill="accent6" w:themeFillTint="33"/>
          </w:tcPr>
          <w:p w14:paraId="6BC8E0D7" w14:textId="68E30092" w:rsidR="00472715" w:rsidRPr="00520C23" w:rsidRDefault="00472715" w:rsidP="00472715">
            <w:pPr>
              <w:spacing w:before="120"/>
              <w:rPr>
                <w:rFonts w:cstheme="minorHAnsi"/>
              </w:rPr>
            </w:pPr>
            <w:r w:rsidRPr="00520C23">
              <w:rPr>
                <w:rFonts w:cstheme="minorHAnsi"/>
              </w:rPr>
              <w:lastRenderedPageBreak/>
              <w:t xml:space="preserve">This </w:t>
            </w:r>
            <w:r w:rsidRPr="00520C23">
              <w:rPr>
                <w:rFonts w:cstheme="minorHAnsi"/>
                <w:bCs/>
                <w:i/>
                <w:iCs/>
              </w:rPr>
              <w:t>Water Amendment Bill 2019</w:t>
            </w:r>
            <w:r w:rsidRPr="00520C23">
              <w:rPr>
                <w:rFonts w:cstheme="minorHAnsi"/>
              </w:rPr>
              <w:t xml:space="preserve"> adequately addresses recommendation 7.6.  </w:t>
            </w:r>
          </w:p>
        </w:tc>
      </w:tr>
      <w:tr w:rsidR="00EA3C33" w:rsidRPr="00520C23" w14:paraId="3D445D7E" w14:textId="17038E6C" w:rsidTr="00382B7A">
        <w:tc>
          <w:tcPr>
            <w:tcW w:w="846" w:type="dxa"/>
            <w:shd w:val="clear" w:color="auto" w:fill="auto"/>
          </w:tcPr>
          <w:p w14:paraId="6E6D068A" w14:textId="1742F41A" w:rsidR="00472715" w:rsidRPr="00520C23" w:rsidRDefault="00472715" w:rsidP="00472715">
            <w:pPr>
              <w:spacing w:before="120"/>
              <w:jc w:val="center"/>
              <w:rPr>
                <w:rFonts w:cstheme="minorHAnsi"/>
              </w:rPr>
            </w:pPr>
            <w:r w:rsidRPr="00520C23">
              <w:rPr>
                <w:rFonts w:cstheme="minorHAnsi"/>
              </w:rPr>
              <w:t>7.8a</w:t>
            </w:r>
          </w:p>
        </w:tc>
        <w:tc>
          <w:tcPr>
            <w:tcW w:w="4819" w:type="dxa"/>
            <w:shd w:val="clear" w:color="auto" w:fill="auto"/>
          </w:tcPr>
          <w:p w14:paraId="542566B9" w14:textId="5930F896" w:rsidR="00472715" w:rsidRPr="00520C23" w:rsidRDefault="00472715" w:rsidP="00472715">
            <w:pPr>
              <w:spacing w:before="120"/>
              <w:rPr>
                <w:rFonts w:cstheme="minorHAnsi"/>
                <w:i/>
                <w:iCs/>
              </w:rPr>
            </w:pPr>
            <w:r w:rsidRPr="00520C23">
              <w:rPr>
                <w:rFonts w:cstheme="minorHAnsi"/>
                <w:i/>
                <w:iCs/>
              </w:rPr>
              <w:t xml:space="preserve">That the following measures be </w:t>
            </w:r>
            <w:r w:rsidRPr="00520C23">
              <w:rPr>
                <w:rFonts w:cstheme="minorHAnsi"/>
                <w:b/>
                <w:bCs/>
                <w:i/>
                <w:iCs/>
              </w:rPr>
              <w:t xml:space="preserve">mandated </w:t>
            </w:r>
            <w:r w:rsidRPr="00520C23">
              <w:rPr>
                <w:rFonts w:cstheme="minorHAnsi"/>
                <w:i/>
                <w:iCs/>
              </w:rPr>
              <w:t xml:space="preserve">to ensure that any onshore shale gas development does not cause unacceptable local drawdown of aquifers: </w:t>
            </w:r>
          </w:p>
          <w:p w14:paraId="39E2A41E" w14:textId="6DA571D0" w:rsidR="00472715" w:rsidRPr="00520C23" w:rsidRDefault="00472715" w:rsidP="00472715">
            <w:pPr>
              <w:spacing w:before="120"/>
              <w:rPr>
                <w:rFonts w:cstheme="minorHAnsi"/>
                <w:i/>
                <w:iCs/>
              </w:rPr>
            </w:pPr>
            <w:r w:rsidRPr="00520C23">
              <w:rPr>
                <w:rFonts w:cstheme="minorHAnsi"/>
                <w:i/>
                <w:iCs/>
              </w:rPr>
              <w:t xml:space="preserve">• that prior to the grant of any further exploration approvals, </w:t>
            </w:r>
            <w:r w:rsidRPr="00520C23">
              <w:rPr>
                <w:rFonts w:cstheme="minorHAnsi"/>
                <w:b/>
                <w:bCs/>
                <w:i/>
                <w:iCs/>
              </w:rPr>
              <w:t>the extraction of water from water bores to supply water for hydraulic fracturing be prohibited within at least 1 km of existing or proposed groundwater bores</w:t>
            </w:r>
            <w:r w:rsidRPr="00520C23">
              <w:rPr>
                <w:rFonts w:cstheme="minorHAnsi"/>
                <w:i/>
                <w:iCs/>
              </w:rPr>
              <w:t xml:space="preserve"> (that are used for domestic or stock use) unless hydrogeological investigations and groundwater modelling, including the SREBA, indicate that a different distance is appropriate, or if the landholder agrees to a variation of this distance; </w:t>
            </w:r>
          </w:p>
          <w:p w14:paraId="46BEF5BB" w14:textId="185BDC8C" w:rsidR="00472715" w:rsidRPr="00520C23" w:rsidRDefault="00472715" w:rsidP="00472715">
            <w:pPr>
              <w:spacing w:before="120"/>
              <w:rPr>
                <w:rFonts w:cstheme="minorHAnsi"/>
                <w:i/>
                <w:iCs/>
              </w:rPr>
            </w:pPr>
            <w:r w:rsidRPr="00520C23">
              <w:rPr>
                <w:rFonts w:cstheme="minorHAnsi"/>
                <w:i/>
                <w:iCs/>
              </w:rPr>
              <w:t xml:space="preserve">• that </w:t>
            </w:r>
            <w:r w:rsidRPr="00520C23">
              <w:rPr>
                <w:rFonts w:cstheme="minorHAnsi"/>
                <w:b/>
                <w:bCs/>
                <w:i/>
                <w:iCs/>
              </w:rPr>
              <w:t>relevant WAPs (water allocation plans) include provisions that adequately control both the rate and volume of water extraction</w:t>
            </w:r>
            <w:r w:rsidRPr="00520C23">
              <w:rPr>
                <w:rFonts w:cstheme="minorHAnsi"/>
                <w:i/>
                <w:iCs/>
              </w:rPr>
              <w:t xml:space="preserve"> by the gas companies; </w:t>
            </w:r>
          </w:p>
          <w:p w14:paraId="26E5D0D1" w14:textId="5AF9838C" w:rsidR="00472715" w:rsidRPr="00520C23" w:rsidRDefault="00472715" w:rsidP="00472715">
            <w:pPr>
              <w:spacing w:before="120"/>
              <w:rPr>
                <w:rFonts w:cstheme="minorHAnsi"/>
                <w:i/>
                <w:iCs/>
              </w:rPr>
            </w:pPr>
            <w:r w:rsidRPr="00520C23">
              <w:rPr>
                <w:rFonts w:cstheme="minorHAnsi"/>
                <w:i/>
                <w:iCs/>
              </w:rPr>
              <w:t>• that gas companies be required, at their expense</w:t>
            </w:r>
            <w:r w:rsidRPr="00520C23">
              <w:rPr>
                <w:rFonts w:cstheme="minorHAnsi"/>
                <w:b/>
                <w:bCs/>
                <w:i/>
                <w:iCs/>
              </w:rPr>
              <w:t>, to monitor drawdown</w:t>
            </w:r>
            <w:r w:rsidRPr="00520C23">
              <w:rPr>
                <w:rFonts w:cstheme="minorHAnsi"/>
                <w:i/>
                <w:iCs/>
              </w:rPr>
              <w:t xml:space="preserve"> in local water supply bores; and </w:t>
            </w:r>
          </w:p>
          <w:p w14:paraId="612D0EAF" w14:textId="5F122678" w:rsidR="00472715" w:rsidRPr="00520C23" w:rsidRDefault="00472715" w:rsidP="00472715">
            <w:pPr>
              <w:spacing w:before="120"/>
              <w:rPr>
                <w:rFonts w:cstheme="minorHAnsi"/>
                <w:i/>
                <w:iCs/>
              </w:rPr>
            </w:pPr>
            <w:r w:rsidRPr="00520C23">
              <w:rPr>
                <w:rFonts w:cstheme="minorHAnsi"/>
                <w:i/>
                <w:iCs/>
              </w:rPr>
              <w:t xml:space="preserve">• that gas companies </w:t>
            </w:r>
            <w:r w:rsidRPr="00520C23">
              <w:rPr>
                <w:rFonts w:cstheme="minorHAnsi"/>
                <w:b/>
                <w:bCs/>
                <w:i/>
                <w:iCs/>
              </w:rPr>
              <w:t>be required to immediately ‘make good’ and rectify any problems</w:t>
            </w:r>
            <w:r w:rsidRPr="00520C23">
              <w:rPr>
                <w:rFonts w:cstheme="minorHAnsi"/>
                <w:i/>
                <w:iCs/>
              </w:rPr>
              <w:t xml:space="preserve"> if the drawdown is found to be excessive. </w:t>
            </w:r>
          </w:p>
          <w:p w14:paraId="78465554" w14:textId="7252FBEB" w:rsidR="00472715" w:rsidRPr="00520C23" w:rsidRDefault="00472715" w:rsidP="00472715">
            <w:pPr>
              <w:spacing w:before="120"/>
              <w:rPr>
                <w:rFonts w:cstheme="minorHAnsi"/>
                <w:i/>
                <w:iCs/>
              </w:rPr>
            </w:pPr>
            <w:r w:rsidRPr="00520C23">
              <w:rPr>
                <w:rFonts w:cstheme="minorHAnsi"/>
                <w:i/>
                <w:iCs/>
              </w:rPr>
              <w:t xml:space="preserve">[Note that the government divided this recommendation into 7.8(a) – which consists of the first bullet point only – and 7.8(b) – which consists of the final three bullet points.] </w:t>
            </w:r>
          </w:p>
        </w:tc>
        <w:tc>
          <w:tcPr>
            <w:tcW w:w="5760" w:type="dxa"/>
            <w:shd w:val="clear" w:color="auto" w:fill="auto"/>
          </w:tcPr>
          <w:p w14:paraId="12B2C808" w14:textId="1040574D"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Amendments to the </w:t>
            </w:r>
            <w:r w:rsidRPr="00520C23">
              <w:rPr>
                <w:rFonts w:ascii="Calibri" w:eastAsia="Calibri" w:hAnsi="Calibri" w:cs="Calibri"/>
                <w:i/>
                <w:iCs/>
                <w:color w:val="313131"/>
              </w:rPr>
              <w:t>Water Act 1992</w:t>
            </w:r>
            <w:r w:rsidRPr="00520C23">
              <w:rPr>
                <w:rFonts w:ascii="Calibri" w:eastAsia="Calibri" w:hAnsi="Calibri" w:cs="Calibri"/>
                <w:color w:val="313131"/>
              </w:rPr>
              <w:t xml:space="preserve"> commenced on 19 June 2019 to stipulate that authorisation for water extraction for hydraulic fracturing purposes cannot be given within 1km of an existing bore without the required landholder agreement or scientific investigation.</w:t>
            </w:r>
          </w:p>
        </w:tc>
        <w:tc>
          <w:tcPr>
            <w:tcW w:w="5670" w:type="dxa"/>
            <w:shd w:val="clear" w:color="auto" w:fill="auto"/>
          </w:tcPr>
          <w:p w14:paraId="5B0ECEE8" w14:textId="741BE762" w:rsidR="00472715" w:rsidRPr="00520C23" w:rsidRDefault="00472715" w:rsidP="00472715">
            <w:pPr>
              <w:spacing w:before="120"/>
              <w:rPr>
                <w:rFonts w:cstheme="minorHAnsi"/>
                <w:b/>
              </w:rPr>
            </w:pPr>
            <w:r w:rsidRPr="00520C23">
              <w:rPr>
                <w:rFonts w:cstheme="minorHAnsi"/>
              </w:rPr>
              <w:t>This recommendation should be implemented in its entirety before exploration permits are granted. However, the government has divided this into two recommendations (7.8a and 7.8b). According to the government, 7.8a includes only the first point of 7.8, while 7.8b includes the final three points. The government sa</w:t>
            </w:r>
            <w:r w:rsidR="00D8487D">
              <w:rPr>
                <w:rFonts w:cstheme="minorHAnsi"/>
              </w:rPr>
              <w:t>id</w:t>
            </w:r>
            <w:r w:rsidRPr="00520C23">
              <w:rPr>
                <w:rFonts w:cstheme="minorHAnsi"/>
              </w:rPr>
              <w:t xml:space="preserve"> it w</w:t>
            </w:r>
            <w:r w:rsidR="00D8487D">
              <w:rPr>
                <w:rFonts w:cstheme="minorHAnsi"/>
              </w:rPr>
              <w:t>ould</w:t>
            </w:r>
            <w:r w:rsidRPr="00520C23">
              <w:rPr>
                <w:rFonts w:cstheme="minorHAnsi"/>
              </w:rPr>
              <w:t xml:space="preserve"> implement 7.8b by December 202</w:t>
            </w:r>
            <w:r w:rsidR="00D8487D">
              <w:rPr>
                <w:rFonts w:cstheme="minorHAnsi"/>
              </w:rPr>
              <w:t>2</w:t>
            </w:r>
            <w:r w:rsidRPr="00520C23">
              <w:rPr>
                <w:rFonts w:cstheme="minorHAnsi"/>
              </w:rPr>
              <w:t xml:space="preserve">. </w:t>
            </w:r>
          </w:p>
          <w:p w14:paraId="6474A080" w14:textId="4E5D1C9C" w:rsidR="00472715" w:rsidRPr="00520C23" w:rsidRDefault="00472715" w:rsidP="00472715">
            <w:pPr>
              <w:spacing w:before="120"/>
              <w:rPr>
                <w:rFonts w:cstheme="minorHAnsi"/>
              </w:rPr>
            </w:pPr>
            <w:r w:rsidRPr="00520C23">
              <w:rPr>
                <w:rFonts w:cstheme="minorHAnsi"/>
                <w:b/>
              </w:rPr>
              <w:t xml:space="preserve">In order to address 7.8a, the following has been included in the Code of Practice and </w:t>
            </w:r>
            <w:r w:rsidRPr="00520C23">
              <w:rPr>
                <w:rFonts w:cstheme="minorHAnsi"/>
                <w:b/>
                <w:i/>
              </w:rPr>
              <w:t>Water Act</w:t>
            </w:r>
            <w:r w:rsidRPr="00520C23">
              <w:rPr>
                <w:rFonts w:cstheme="minorHAnsi"/>
                <w:b/>
              </w:rPr>
              <w:t>:</w:t>
            </w:r>
          </w:p>
          <w:p w14:paraId="4382ABA4" w14:textId="78A7586C" w:rsidR="00472715" w:rsidRPr="00520C23" w:rsidRDefault="00472715" w:rsidP="00472715">
            <w:pPr>
              <w:spacing w:before="120"/>
              <w:rPr>
                <w:rFonts w:cstheme="minorHAnsi"/>
                <w:b/>
              </w:rPr>
            </w:pPr>
            <w:r w:rsidRPr="00520C23">
              <w:rPr>
                <w:rFonts w:cstheme="minorHAnsi"/>
                <w:b/>
              </w:rPr>
              <w:t>Code of Practice</w:t>
            </w:r>
          </w:p>
          <w:p w14:paraId="49B602C7" w14:textId="66955C04" w:rsidR="00472715" w:rsidRPr="00520C23" w:rsidRDefault="00472715" w:rsidP="00472715">
            <w:pPr>
              <w:spacing w:before="120"/>
              <w:rPr>
                <w:rFonts w:cstheme="minorHAnsi"/>
                <w:u w:val="single"/>
              </w:rPr>
            </w:pPr>
            <w:r w:rsidRPr="00520C23">
              <w:rPr>
                <w:rFonts w:cstheme="minorHAnsi"/>
                <w:bCs/>
                <w:u w:val="single"/>
              </w:rPr>
              <w:t>A.3.2 Well pad site selection requirements</w:t>
            </w:r>
          </w:p>
          <w:p w14:paraId="3A79E94D" w14:textId="19087296" w:rsidR="00472715" w:rsidRPr="00520C23" w:rsidRDefault="00472715" w:rsidP="00472715">
            <w:pPr>
              <w:spacing w:before="120"/>
              <w:rPr>
                <w:rFonts w:cstheme="minorHAnsi"/>
                <w:u w:val="single"/>
              </w:rPr>
            </w:pPr>
            <w:r w:rsidRPr="00520C23">
              <w:rPr>
                <w:rFonts w:cstheme="minorHAnsi"/>
                <w:u w:val="single"/>
              </w:rPr>
              <w:t xml:space="preserve">A.3.2.2 </w:t>
            </w:r>
            <w:r w:rsidRPr="00520C23">
              <w:rPr>
                <w:rFonts w:cstheme="minorHAnsi"/>
                <w:bCs/>
                <w:u w:val="single"/>
              </w:rPr>
              <w:t>Mandatory requirements</w:t>
            </w:r>
          </w:p>
          <w:p w14:paraId="71F808A9" w14:textId="77777777" w:rsidR="00472715" w:rsidRPr="00520C23" w:rsidRDefault="00472715" w:rsidP="00472715">
            <w:pPr>
              <w:spacing w:before="120"/>
              <w:rPr>
                <w:rFonts w:cstheme="minorHAnsi"/>
                <w:i/>
                <w:iCs/>
              </w:rPr>
            </w:pPr>
            <w:r w:rsidRPr="00520C23">
              <w:rPr>
                <w:rFonts w:cstheme="minorHAnsi"/>
                <w:i/>
                <w:iCs/>
              </w:rPr>
              <w:t xml:space="preserve">(d) There must be a minimum distance of at least 1km between an existing water supply </w:t>
            </w:r>
            <w:r w:rsidRPr="00520C23">
              <w:rPr>
                <w:rFonts w:cstheme="minorHAnsi"/>
                <w:b/>
                <w:bCs/>
                <w:i/>
                <w:iCs/>
              </w:rPr>
              <w:t xml:space="preserve">bore </w:t>
            </w:r>
            <w:r w:rsidRPr="00520C23">
              <w:rPr>
                <w:rFonts w:cstheme="minorHAnsi"/>
                <w:i/>
                <w:iCs/>
              </w:rPr>
              <w:t xml:space="preserve">used for domestic or stock consumption and a well pad unless: </w:t>
            </w:r>
          </w:p>
          <w:p w14:paraId="5371257E" w14:textId="77777777" w:rsidR="00472715" w:rsidRPr="00520C23" w:rsidRDefault="00472715" w:rsidP="00472715">
            <w:pPr>
              <w:spacing w:before="120"/>
              <w:ind w:left="720"/>
              <w:rPr>
                <w:rFonts w:cstheme="minorHAnsi"/>
                <w:i/>
                <w:iCs/>
              </w:rPr>
            </w:pPr>
            <w:r w:rsidRPr="00520C23">
              <w:rPr>
                <w:rFonts w:cstheme="minorHAnsi"/>
                <w:i/>
                <w:iCs/>
              </w:rPr>
              <w:t xml:space="preserve">i. the owner of the water supply bore consents in writing to the location of the well pad; or </w:t>
            </w:r>
          </w:p>
          <w:p w14:paraId="09D8923E" w14:textId="7DC90367" w:rsidR="00472715" w:rsidRPr="00520C23" w:rsidRDefault="00472715" w:rsidP="00472715">
            <w:pPr>
              <w:spacing w:before="120"/>
              <w:ind w:left="720"/>
              <w:rPr>
                <w:rFonts w:cstheme="minorHAnsi"/>
                <w:i/>
                <w:iCs/>
              </w:rPr>
            </w:pPr>
            <w:r w:rsidRPr="00520C23">
              <w:rPr>
                <w:rFonts w:cstheme="minorHAnsi"/>
                <w:i/>
                <w:iCs/>
              </w:rPr>
              <w:t>ii. hydrogeological investigations and ground water modelling indicate that a different distance is appropriate.</w:t>
            </w:r>
          </w:p>
          <w:p w14:paraId="23947816" w14:textId="77777777" w:rsidR="00472715" w:rsidRPr="00520C23" w:rsidRDefault="00472715" w:rsidP="00472715">
            <w:pPr>
              <w:spacing w:before="120"/>
              <w:ind w:left="720"/>
              <w:rPr>
                <w:rFonts w:cstheme="minorHAnsi"/>
              </w:rPr>
            </w:pPr>
          </w:p>
          <w:p w14:paraId="78882A70" w14:textId="155E83CF" w:rsidR="00472715" w:rsidRPr="00520C23" w:rsidRDefault="00472715" w:rsidP="00472715">
            <w:pPr>
              <w:spacing w:before="120"/>
              <w:rPr>
                <w:rFonts w:cstheme="minorHAnsi"/>
              </w:rPr>
            </w:pPr>
            <w:r w:rsidRPr="00520C23">
              <w:rPr>
                <w:rFonts w:cstheme="minorHAnsi"/>
                <w:b/>
                <w:i/>
                <w:iCs/>
              </w:rPr>
              <w:t>Water Amendment Bill 2019</w:t>
            </w:r>
          </w:p>
          <w:p w14:paraId="1AD0F623" w14:textId="77777777" w:rsidR="00472715" w:rsidRPr="00520C23" w:rsidRDefault="00472715" w:rsidP="00472715">
            <w:pPr>
              <w:spacing w:before="120"/>
              <w:rPr>
                <w:rFonts w:cstheme="minorHAnsi"/>
                <w:u w:val="single"/>
              </w:rPr>
            </w:pPr>
            <w:r w:rsidRPr="00520C23">
              <w:rPr>
                <w:rFonts w:cstheme="minorHAnsi"/>
                <w:bCs/>
                <w:u w:val="single"/>
              </w:rPr>
              <w:t xml:space="preserve">Section 60(A) License to take ground water for hydraulic fracturing </w:t>
            </w:r>
          </w:p>
          <w:p w14:paraId="5D7F6279" w14:textId="77777777" w:rsidR="00472715" w:rsidRPr="00520C23" w:rsidRDefault="00472715" w:rsidP="00472715">
            <w:pPr>
              <w:spacing w:before="120"/>
              <w:rPr>
                <w:rFonts w:cstheme="minorHAnsi"/>
                <w:i/>
                <w:iCs/>
              </w:rPr>
            </w:pPr>
            <w:r w:rsidRPr="00520C23">
              <w:rPr>
                <w:rFonts w:cstheme="minorHAnsi"/>
                <w:i/>
                <w:iCs/>
              </w:rPr>
              <w:t xml:space="preserve">(1) This section applies in relation to an application for a license, or a license proposed to be granted on </w:t>
            </w:r>
            <w:r w:rsidRPr="00520C23">
              <w:rPr>
                <w:rFonts w:cstheme="minorHAnsi"/>
                <w:i/>
                <w:iCs/>
                <w:shd w:val="clear" w:color="auto" w:fill="FFFFFF" w:themeFill="background1"/>
              </w:rPr>
              <w:t>the Controller's own initiative,</w:t>
            </w:r>
            <w:r w:rsidRPr="00520C23">
              <w:rPr>
                <w:rFonts w:cstheme="minorHAnsi"/>
                <w:i/>
                <w:iCs/>
              </w:rPr>
              <w:t xml:space="preserve"> to take water from a bore if: </w:t>
            </w:r>
          </w:p>
          <w:p w14:paraId="7AF199EA" w14:textId="77777777" w:rsidR="00472715" w:rsidRPr="00520C23" w:rsidRDefault="00472715" w:rsidP="00472715">
            <w:pPr>
              <w:spacing w:before="120"/>
              <w:ind w:left="720"/>
              <w:rPr>
                <w:rFonts w:cstheme="minorHAnsi"/>
                <w:i/>
                <w:iCs/>
              </w:rPr>
            </w:pPr>
            <w:r w:rsidRPr="00520C23">
              <w:rPr>
                <w:rFonts w:cstheme="minorHAnsi"/>
                <w:i/>
                <w:iCs/>
              </w:rPr>
              <w:t xml:space="preserve">(a) the proposed beneficial use of water under the license is petroleum activity that includes hydraulic fracturing; and </w:t>
            </w:r>
          </w:p>
          <w:p w14:paraId="21AA9DAC" w14:textId="77777777" w:rsidR="00472715" w:rsidRPr="00520C23" w:rsidRDefault="00472715" w:rsidP="00472715">
            <w:pPr>
              <w:spacing w:before="120"/>
              <w:ind w:left="720"/>
              <w:rPr>
                <w:rFonts w:cstheme="minorHAnsi"/>
                <w:i/>
                <w:iCs/>
              </w:rPr>
            </w:pPr>
            <w:r w:rsidRPr="00520C23">
              <w:rPr>
                <w:rFonts w:cstheme="minorHAnsi"/>
                <w:i/>
                <w:iCs/>
              </w:rPr>
              <w:t xml:space="preserve">(b) one or more designated bores are located within 1 km of the bore. </w:t>
            </w:r>
          </w:p>
          <w:p w14:paraId="296F861C" w14:textId="77777777" w:rsidR="00472715" w:rsidRPr="00520C23" w:rsidRDefault="00472715" w:rsidP="00472715">
            <w:pPr>
              <w:spacing w:before="120"/>
              <w:rPr>
                <w:rFonts w:cstheme="minorHAnsi"/>
                <w:i/>
                <w:iCs/>
              </w:rPr>
            </w:pPr>
            <w:r w:rsidRPr="00520C23">
              <w:rPr>
                <w:rFonts w:cstheme="minorHAnsi"/>
                <w:i/>
                <w:iCs/>
              </w:rPr>
              <w:t xml:space="preserve">(2) The Controller must not grant the license unless: </w:t>
            </w:r>
          </w:p>
          <w:p w14:paraId="3678A39C" w14:textId="77777777" w:rsidR="00472715" w:rsidRPr="00520C23" w:rsidRDefault="00472715" w:rsidP="00472715">
            <w:pPr>
              <w:spacing w:before="120"/>
              <w:ind w:left="720"/>
              <w:rPr>
                <w:rFonts w:cstheme="minorHAnsi"/>
                <w:i/>
                <w:iCs/>
              </w:rPr>
            </w:pPr>
            <w:r w:rsidRPr="00520C23">
              <w:rPr>
                <w:rFonts w:cstheme="minorHAnsi"/>
                <w:i/>
                <w:iCs/>
              </w:rPr>
              <w:t xml:space="preserve">(a) the owner of each designated bore mentioned in subsection (1)(b) consents to the grant of the license; or </w:t>
            </w:r>
          </w:p>
          <w:p w14:paraId="4D295D6E" w14:textId="77777777" w:rsidR="00472715" w:rsidRPr="00520C23" w:rsidRDefault="00472715" w:rsidP="00472715">
            <w:pPr>
              <w:spacing w:before="120"/>
              <w:ind w:left="720"/>
              <w:rPr>
                <w:rFonts w:cstheme="minorHAnsi"/>
                <w:i/>
                <w:iCs/>
              </w:rPr>
            </w:pPr>
            <w:r w:rsidRPr="00520C23">
              <w:rPr>
                <w:rFonts w:cstheme="minorHAnsi"/>
                <w:i/>
                <w:iCs/>
              </w:rPr>
              <w:t xml:space="preserve">(b) hydrogeological investigations and ground water monitoring indicate that the activities under the </w:t>
            </w:r>
            <w:r w:rsidRPr="00520C23">
              <w:rPr>
                <w:rFonts w:cstheme="minorHAnsi"/>
                <w:i/>
                <w:iCs/>
              </w:rPr>
              <w:lastRenderedPageBreak/>
              <w:t>license will not have any adverse effect on the supply of water to any designated bore mentioned in subsection (1)(b).</w:t>
            </w:r>
          </w:p>
          <w:p w14:paraId="3445E317" w14:textId="77777777" w:rsidR="00472715" w:rsidRDefault="00472715" w:rsidP="00472715">
            <w:pPr>
              <w:spacing w:before="120"/>
              <w:rPr>
                <w:rFonts w:cstheme="minorHAnsi"/>
              </w:rPr>
            </w:pPr>
            <w:r w:rsidRPr="00520C23">
              <w:rPr>
                <w:rFonts w:cstheme="minorHAnsi"/>
              </w:rPr>
              <w:t>“Designated bore” is defined in section 60A(3) to include a bore used for rural stock and domestic beneficial use and a bore in relation to which a water extraction license has been granted, among other things.</w:t>
            </w:r>
          </w:p>
          <w:p w14:paraId="5CBEAACC" w14:textId="1B115C21" w:rsidR="00094A92" w:rsidRDefault="00094A92" w:rsidP="00472715">
            <w:pPr>
              <w:spacing w:before="120"/>
            </w:pPr>
          </w:p>
          <w:p w14:paraId="6D33F99A" w14:textId="1B115C21" w:rsidR="00094A92" w:rsidRPr="00F90BAA" w:rsidRDefault="00094A92" w:rsidP="00472715">
            <w:pPr>
              <w:spacing w:before="120"/>
              <w:rPr>
                <w:b/>
              </w:rPr>
            </w:pPr>
            <w:r>
              <w:t>SREBA</w:t>
            </w:r>
            <w:r w:rsidR="0069519C">
              <w:t xml:space="preserve"> Water Studies</w:t>
            </w:r>
          </w:p>
          <w:p w14:paraId="7D3CD81A" w14:textId="2356FB26" w:rsidR="0069519C" w:rsidRPr="00520C23" w:rsidRDefault="0069519C" w:rsidP="00472715">
            <w:pPr>
              <w:spacing w:before="120"/>
              <w:rPr>
                <w:rFonts w:cstheme="minorHAnsi"/>
              </w:rPr>
            </w:pPr>
            <w:r>
              <w:t>The SREBA Water Studies included ground and surface water mapping and modelling, pumping tests to study inter- and intra-aquifer connectivity, and water quality studies.</w:t>
            </w:r>
          </w:p>
        </w:tc>
        <w:tc>
          <w:tcPr>
            <w:tcW w:w="5310" w:type="dxa"/>
            <w:shd w:val="clear" w:color="auto" w:fill="FFF2CC" w:themeFill="accent4" w:themeFillTint="33"/>
          </w:tcPr>
          <w:p w14:paraId="10770730" w14:textId="02D18891" w:rsidR="00472715" w:rsidRPr="00520C23" w:rsidRDefault="00472715" w:rsidP="00472715">
            <w:pPr>
              <w:spacing w:before="120"/>
              <w:rPr>
                <w:rFonts w:cstheme="minorHAnsi"/>
              </w:rPr>
            </w:pPr>
            <w:r w:rsidRPr="00520C23">
              <w:rPr>
                <w:rFonts w:cstheme="minorHAnsi"/>
              </w:rPr>
              <w:lastRenderedPageBreak/>
              <w:t>The Code</w:t>
            </w:r>
            <w:r w:rsidR="00382B7A">
              <w:rPr>
                <w:rFonts w:cstheme="minorHAnsi"/>
              </w:rPr>
              <w:t xml:space="preserve">, </w:t>
            </w:r>
            <w:r w:rsidRPr="00520C23">
              <w:rPr>
                <w:rFonts w:cstheme="minorHAnsi"/>
                <w:i/>
                <w:iCs/>
              </w:rPr>
              <w:t>Water Act</w:t>
            </w:r>
            <w:r w:rsidR="00382B7A">
              <w:rPr>
                <w:rFonts w:cstheme="minorHAnsi"/>
              </w:rPr>
              <w:t>, and SREBA Water Studies</w:t>
            </w:r>
            <w:r w:rsidRPr="00520C23">
              <w:rPr>
                <w:rFonts w:cstheme="minorHAnsi"/>
                <w:i/>
                <w:iCs/>
              </w:rPr>
              <w:t xml:space="preserve"> </w:t>
            </w:r>
            <w:r w:rsidR="00094A92">
              <w:rPr>
                <w:rFonts w:cstheme="minorHAnsi"/>
              </w:rPr>
              <w:t>partially</w:t>
            </w:r>
            <w:r w:rsidR="00094A92" w:rsidRPr="00520C23">
              <w:rPr>
                <w:rFonts w:cstheme="minorHAnsi"/>
              </w:rPr>
              <w:t xml:space="preserve"> </w:t>
            </w:r>
            <w:r w:rsidRPr="00520C23">
              <w:rPr>
                <w:rFonts w:cstheme="minorHAnsi"/>
              </w:rPr>
              <w:t xml:space="preserve">address recommendation 7.8a. </w:t>
            </w:r>
          </w:p>
          <w:p w14:paraId="6C1AB317" w14:textId="7F132C9A" w:rsidR="00472715" w:rsidRPr="00520C23" w:rsidRDefault="00472715" w:rsidP="00472715">
            <w:pPr>
              <w:spacing w:before="120"/>
              <w:rPr>
                <w:rFonts w:cstheme="minorHAnsi"/>
                <w:i/>
                <w:iCs/>
                <w:u w:val="single"/>
              </w:rPr>
            </w:pPr>
            <w:r w:rsidRPr="00520C23">
              <w:rPr>
                <w:rFonts w:cstheme="minorHAnsi"/>
                <w:i/>
                <w:iCs/>
                <w:u w:val="single"/>
              </w:rPr>
              <w:t>Comments</w:t>
            </w:r>
          </w:p>
          <w:p w14:paraId="18796AF8" w14:textId="3B70C1D9" w:rsidR="00472715" w:rsidRPr="00520C23" w:rsidRDefault="00472715" w:rsidP="00472715">
            <w:pPr>
              <w:pStyle w:val="ListParagraph"/>
              <w:numPr>
                <w:ilvl w:val="0"/>
                <w:numId w:val="11"/>
              </w:numPr>
              <w:spacing w:before="120"/>
              <w:rPr>
                <w:rFonts w:cstheme="minorHAnsi"/>
              </w:rPr>
            </w:pPr>
            <w:r w:rsidRPr="00520C23">
              <w:rPr>
                <w:rFonts w:cstheme="minorHAnsi"/>
              </w:rPr>
              <w:t>Given the importance of having a complete understanding</w:t>
            </w:r>
            <w:r w:rsidR="00C13487">
              <w:rPr>
                <w:rFonts w:cstheme="minorHAnsi"/>
              </w:rPr>
              <w:t xml:space="preserve"> of</w:t>
            </w:r>
            <w:r w:rsidRPr="00520C23">
              <w:rPr>
                <w:rFonts w:cstheme="minorHAnsi"/>
              </w:rPr>
              <w:t xml:space="preserve"> the resource for deciding on the well-bore minimum distances, the SREBA study on groundwater quantity should have been completed before exploration approvals were granted</w:t>
            </w:r>
            <w:r w:rsidR="00653D73">
              <w:rPr>
                <w:rFonts w:cstheme="minorHAnsi"/>
              </w:rPr>
              <w:t xml:space="preserve"> and </w:t>
            </w:r>
            <w:r w:rsidR="00653D73" w:rsidRPr="36977F8B">
              <w:t>before the 1</w:t>
            </w:r>
            <w:r w:rsidR="0025303D">
              <w:t xml:space="preserve"> </w:t>
            </w:r>
            <w:r w:rsidR="00653D73" w:rsidRPr="36977F8B">
              <w:t>km minimum was specified in the Water Act</w:t>
            </w:r>
            <w:r w:rsidRPr="00520C23">
              <w:rPr>
                <w:rFonts w:cstheme="minorHAnsi"/>
              </w:rPr>
              <w:t>.</w:t>
            </w:r>
            <w:r w:rsidR="0025303D">
              <w:rPr>
                <w:rFonts w:cstheme="minorHAnsi"/>
              </w:rPr>
              <w:t xml:space="preserve"> </w:t>
            </w:r>
          </w:p>
          <w:p w14:paraId="1F16F3C1" w14:textId="1D167B21" w:rsidR="00472715" w:rsidRPr="00520C23" w:rsidRDefault="00472715" w:rsidP="00472715">
            <w:pPr>
              <w:pStyle w:val="ListParagraph"/>
              <w:numPr>
                <w:ilvl w:val="0"/>
                <w:numId w:val="21"/>
              </w:numPr>
              <w:spacing w:before="120"/>
              <w:rPr>
                <w:rFonts w:cstheme="minorHAnsi"/>
              </w:rPr>
            </w:pPr>
            <w:r w:rsidRPr="00520C23">
              <w:rPr>
                <w:rFonts w:cstheme="minorHAnsi"/>
              </w:rPr>
              <w:t xml:space="preserve">Given the importance of the recommendations in 7.8b to groundwater supplies, the spirit of the recommendation calls for them to be implemented before exploration activities drawing down the aquifers begin. This has not occurred. Moreover, it is odd that the requirements of 7.8b were not built into the Code and </w:t>
            </w:r>
            <w:r w:rsidRPr="00520C23">
              <w:rPr>
                <w:rFonts w:cstheme="minorHAnsi"/>
                <w:i/>
                <w:iCs/>
              </w:rPr>
              <w:t xml:space="preserve">Water Act </w:t>
            </w:r>
            <w:r w:rsidRPr="00520C23">
              <w:rPr>
                <w:rFonts w:cstheme="minorHAnsi"/>
              </w:rPr>
              <w:t>at an earlier stage, and will need to be assessed separately</w:t>
            </w:r>
            <w:r w:rsidR="00417F9F">
              <w:rPr>
                <w:rFonts w:cstheme="minorHAnsi"/>
              </w:rPr>
              <w:t>.</w:t>
            </w:r>
            <w:r w:rsidRPr="00520C23">
              <w:rPr>
                <w:rFonts w:cstheme="minorHAnsi"/>
              </w:rPr>
              <w:t xml:space="preserve"> Specifically: </w:t>
            </w:r>
          </w:p>
          <w:p w14:paraId="3460F779" w14:textId="1EC59E1B" w:rsidR="00472715" w:rsidRPr="00520C23" w:rsidRDefault="00472715" w:rsidP="00472715">
            <w:pPr>
              <w:pStyle w:val="ListParagraph"/>
              <w:numPr>
                <w:ilvl w:val="0"/>
                <w:numId w:val="83"/>
              </w:numPr>
              <w:spacing w:before="120"/>
              <w:ind w:left="643" w:hanging="283"/>
              <w:rPr>
                <w:rFonts w:cstheme="minorHAnsi"/>
              </w:rPr>
            </w:pPr>
            <w:r w:rsidRPr="00520C23">
              <w:rPr>
                <w:rFonts w:cstheme="minorHAnsi"/>
              </w:rPr>
              <w:t xml:space="preserve">WAPs </w:t>
            </w:r>
            <w:r w:rsidR="00337041" w:rsidRPr="00520C23">
              <w:rPr>
                <w:rFonts w:cstheme="minorHAnsi"/>
              </w:rPr>
              <w:t xml:space="preserve">for the Beetaloo Basin </w:t>
            </w:r>
            <w:r w:rsidRPr="00520C23">
              <w:rPr>
                <w:rFonts w:cstheme="minorHAnsi"/>
              </w:rPr>
              <w:t xml:space="preserve">have not yet been </w:t>
            </w:r>
            <w:r w:rsidR="00337041">
              <w:rPr>
                <w:rFonts w:cstheme="minorHAnsi"/>
              </w:rPr>
              <w:t>finalised</w:t>
            </w:r>
            <w:r w:rsidR="00F90BAA">
              <w:rPr>
                <w:rFonts w:cstheme="minorHAnsi"/>
              </w:rPr>
              <w:t xml:space="preserve"> </w:t>
            </w:r>
            <w:r w:rsidRPr="00520C23">
              <w:rPr>
                <w:rFonts w:cstheme="minorHAnsi"/>
              </w:rPr>
              <w:t xml:space="preserve">(recommendation 7.7). </w:t>
            </w:r>
          </w:p>
          <w:p w14:paraId="37A5039C" w14:textId="26F84D99" w:rsidR="00472715" w:rsidRPr="00520C23" w:rsidRDefault="00472715" w:rsidP="00472715">
            <w:pPr>
              <w:pStyle w:val="ListParagraph"/>
              <w:numPr>
                <w:ilvl w:val="0"/>
                <w:numId w:val="83"/>
              </w:numPr>
              <w:spacing w:before="120"/>
              <w:ind w:left="643" w:hanging="283"/>
              <w:rPr>
                <w:rFonts w:cstheme="minorHAnsi"/>
              </w:rPr>
            </w:pPr>
            <w:r w:rsidRPr="00520C23">
              <w:rPr>
                <w:rFonts w:cstheme="minorHAnsi"/>
              </w:rPr>
              <w:t xml:space="preserve">The Code and </w:t>
            </w:r>
            <w:r w:rsidRPr="00520C23">
              <w:rPr>
                <w:rFonts w:cstheme="minorHAnsi"/>
                <w:i/>
              </w:rPr>
              <w:t>Water Act</w:t>
            </w:r>
            <w:r w:rsidRPr="00520C23">
              <w:rPr>
                <w:rFonts w:cstheme="minorHAnsi"/>
              </w:rPr>
              <w:t xml:space="preserve"> do not require that gas companies engage in drawdown monitoring. Instead, the </w:t>
            </w:r>
            <w:r w:rsidRPr="00520C23">
              <w:rPr>
                <w:rFonts w:cstheme="minorHAnsi"/>
                <w:i/>
                <w:iCs/>
              </w:rPr>
              <w:t>Water Act</w:t>
            </w:r>
            <w:r w:rsidRPr="00520C23">
              <w:rPr>
                <w:rFonts w:cstheme="minorHAnsi"/>
              </w:rPr>
              <w:t xml:space="preserve"> mandates that the Controller “</w:t>
            </w:r>
            <w:r w:rsidRPr="00520C23">
              <w:rPr>
                <w:rFonts w:cstheme="minorHAnsi"/>
                <w:i/>
                <w:iCs/>
              </w:rPr>
              <w:t>ensure as far as possible that a continuous program for the assessment of water   resources of the Territory is carried out,</w:t>
            </w:r>
            <w:r w:rsidR="00417F9F">
              <w:rPr>
                <w:rFonts w:cstheme="minorHAnsi"/>
                <w:i/>
                <w:iCs/>
              </w:rPr>
              <w:t xml:space="preserve"> </w:t>
            </w:r>
            <w:r w:rsidRPr="00520C23">
              <w:rPr>
                <w:rFonts w:cstheme="minorHAnsi"/>
                <w:i/>
                <w:iCs/>
              </w:rPr>
              <w:t>including the investigation</w:t>
            </w:r>
            <w:r w:rsidR="00417F9F">
              <w:rPr>
                <w:rFonts w:cstheme="minorHAnsi"/>
                <w:i/>
                <w:iCs/>
              </w:rPr>
              <w:t xml:space="preserve"> </w:t>
            </w:r>
            <w:r w:rsidRPr="00520C23">
              <w:rPr>
                <w:rFonts w:cstheme="minorHAnsi"/>
                <w:i/>
                <w:iCs/>
              </w:rPr>
              <w:t>collection, collation and analysis of data concerning the occurrence, volume, flow, characteristics, quality, flood potential and use of water resources.”</w:t>
            </w:r>
          </w:p>
          <w:p w14:paraId="4294579F" w14:textId="71CB49F0" w:rsidR="00472715" w:rsidRPr="00520C23" w:rsidRDefault="00472715" w:rsidP="00472715">
            <w:pPr>
              <w:pStyle w:val="ListParagraph"/>
              <w:numPr>
                <w:ilvl w:val="0"/>
                <w:numId w:val="83"/>
              </w:numPr>
              <w:spacing w:before="120"/>
              <w:ind w:left="643" w:hanging="283"/>
              <w:rPr>
                <w:rFonts w:cstheme="minorHAnsi"/>
              </w:rPr>
            </w:pPr>
            <w:r w:rsidRPr="00520C23">
              <w:rPr>
                <w:rFonts w:cstheme="minorHAnsi"/>
              </w:rPr>
              <w:t xml:space="preserve">The Code does not contain “make good” requirements. Operators should be required to make good if they drawdown local aquifers excessively, as in the recommendation. </w:t>
            </w:r>
          </w:p>
          <w:p w14:paraId="1A1352E3" w14:textId="41645DBB" w:rsidR="00472715" w:rsidRDefault="00472715" w:rsidP="00472715">
            <w:pPr>
              <w:pStyle w:val="ListParagraph"/>
              <w:numPr>
                <w:ilvl w:val="0"/>
                <w:numId w:val="21"/>
              </w:numPr>
              <w:spacing w:before="120"/>
              <w:rPr>
                <w:rFonts w:cstheme="minorHAnsi"/>
              </w:rPr>
            </w:pPr>
            <w:r w:rsidRPr="00520C23">
              <w:rPr>
                <w:rFonts w:cstheme="minorHAnsi"/>
              </w:rPr>
              <w:t>Given the challenges of implementing these requirements and their importance, the plans for implementing recommendation 7.8b that come out should be scrutini</w:t>
            </w:r>
            <w:r w:rsidR="00F37E5D">
              <w:rPr>
                <w:rFonts w:cstheme="minorHAnsi"/>
              </w:rPr>
              <w:t>s</w:t>
            </w:r>
            <w:r w:rsidRPr="00520C23">
              <w:rPr>
                <w:rFonts w:cstheme="minorHAnsi"/>
              </w:rPr>
              <w:t xml:space="preserve">ed closely. </w:t>
            </w:r>
          </w:p>
          <w:p w14:paraId="3BFCC254" w14:textId="66034C5A" w:rsidR="00556E6C" w:rsidRPr="00520C23" w:rsidRDefault="00472715" w:rsidP="00D42089">
            <w:pPr>
              <w:pStyle w:val="ListParagraph"/>
              <w:numPr>
                <w:ilvl w:val="0"/>
                <w:numId w:val="21"/>
              </w:numPr>
              <w:spacing w:before="120"/>
            </w:pPr>
            <w:r>
              <w:rPr>
                <w:rFonts w:cstheme="minorHAnsi"/>
              </w:rPr>
              <w:t xml:space="preserve">As of </w:t>
            </w:r>
            <w:r w:rsidR="000C0A72">
              <w:rPr>
                <w:rFonts w:cstheme="minorHAnsi"/>
              </w:rPr>
              <w:t>April</w:t>
            </w:r>
            <w:r w:rsidR="000C0A72">
              <w:rPr>
                <w:rFonts w:cstheme="minorHAnsi"/>
              </w:rPr>
              <w:t xml:space="preserve"> </w:t>
            </w:r>
            <w:r w:rsidR="00236F6A">
              <w:rPr>
                <w:rFonts w:cstheme="minorHAnsi"/>
              </w:rPr>
              <w:t>2023</w:t>
            </w:r>
            <w:r>
              <w:rPr>
                <w:rFonts w:cstheme="minorHAnsi"/>
              </w:rPr>
              <w:t xml:space="preserve">, implementation progress on 7.8b remains at </w:t>
            </w:r>
            <w:r w:rsidR="00236F6A">
              <w:rPr>
                <w:rFonts w:cstheme="minorHAnsi"/>
              </w:rPr>
              <w:t>7</w:t>
            </w:r>
            <w:r>
              <w:rPr>
                <w:rFonts w:cstheme="minorHAnsi"/>
              </w:rPr>
              <w:t xml:space="preserve">5% </w:t>
            </w:r>
            <w:r w:rsidR="00463B69">
              <w:rPr>
                <w:rFonts w:cstheme="minorHAnsi"/>
              </w:rPr>
              <w:t>with a</w:t>
            </w:r>
            <w:r w:rsidR="000E3571">
              <w:rPr>
                <w:rFonts w:cstheme="minorHAnsi"/>
              </w:rPr>
              <w:t>n expired</w:t>
            </w:r>
            <w:r w:rsidR="00463B69">
              <w:rPr>
                <w:rFonts w:cstheme="minorHAnsi"/>
              </w:rPr>
              <w:t xml:space="preserve"> target completion date of end of December 2022</w:t>
            </w:r>
            <w:r>
              <w:rPr>
                <w:rFonts w:cstheme="minorHAnsi"/>
              </w:rPr>
              <w:t>.</w:t>
            </w:r>
          </w:p>
        </w:tc>
      </w:tr>
      <w:tr w:rsidR="00EA3C33" w:rsidRPr="00520C23" w14:paraId="02FDC0C4" w14:textId="61CFCFEB" w:rsidTr="00EA3C33">
        <w:tc>
          <w:tcPr>
            <w:tcW w:w="846" w:type="dxa"/>
            <w:shd w:val="clear" w:color="auto" w:fill="auto"/>
          </w:tcPr>
          <w:p w14:paraId="02C38CDC" w14:textId="12CE0165" w:rsidR="00472715" w:rsidRPr="00520C23" w:rsidRDefault="00472715" w:rsidP="00472715">
            <w:pPr>
              <w:spacing w:before="120"/>
              <w:jc w:val="center"/>
              <w:rPr>
                <w:rFonts w:cstheme="minorHAnsi"/>
              </w:rPr>
            </w:pPr>
            <w:r w:rsidRPr="00520C23">
              <w:rPr>
                <w:rFonts w:cstheme="minorHAnsi"/>
              </w:rPr>
              <w:t>7.9</w:t>
            </w:r>
          </w:p>
        </w:tc>
        <w:tc>
          <w:tcPr>
            <w:tcW w:w="4819" w:type="dxa"/>
            <w:shd w:val="clear" w:color="auto" w:fill="auto"/>
          </w:tcPr>
          <w:p w14:paraId="37CB07FA" w14:textId="45C46C29"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the </w:t>
            </w:r>
            <w:r w:rsidRPr="00520C23">
              <w:rPr>
                <w:rFonts w:cstheme="minorHAnsi"/>
                <w:b/>
                <w:bCs/>
                <w:i/>
                <w:iCs/>
              </w:rPr>
              <w:t>reinjection of wastewater into deep aquifers and conventional reservoirs and the reinjection of treated or untreated wastewaters (including brines) into aquifers be prohibited</w:t>
            </w:r>
            <w:r w:rsidRPr="00520C23">
              <w:rPr>
                <w:rFonts w:cstheme="minorHAnsi"/>
                <w:i/>
                <w:iCs/>
              </w:rPr>
              <w:t xml:space="preserve">, unless full scientific investigations determine that all risks associated with these practices can be mitigated. </w:t>
            </w:r>
          </w:p>
        </w:tc>
        <w:tc>
          <w:tcPr>
            <w:tcW w:w="5760" w:type="dxa"/>
            <w:shd w:val="clear" w:color="auto" w:fill="auto"/>
          </w:tcPr>
          <w:p w14:paraId="6413AE9B" w14:textId="23ED96EA"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Amendments to the </w:t>
            </w:r>
            <w:r w:rsidRPr="00520C23">
              <w:rPr>
                <w:rFonts w:ascii="Calibri" w:eastAsia="Calibri" w:hAnsi="Calibri" w:cs="Calibri"/>
                <w:i/>
                <w:iCs/>
                <w:color w:val="313131"/>
              </w:rPr>
              <w:t>Water Act 1992</w:t>
            </w:r>
            <w:r w:rsidRPr="00520C23">
              <w:rPr>
                <w:rFonts w:ascii="Calibri" w:eastAsia="Calibri" w:hAnsi="Calibri" w:cs="Calibri"/>
                <w:color w:val="313131"/>
              </w:rPr>
              <w:t xml:space="preserve"> commenced on 19 June 2019 to stipulate that authorisation cannot be given for the reinjection of hydraulic fracturing waste into aquifers.</w:t>
            </w:r>
          </w:p>
        </w:tc>
        <w:tc>
          <w:tcPr>
            <w:tcW w:w="5670" w:type="dxa"/>
            <w:shd w:val="clear" w:color="auto" w:fill="auto"/>
          </w:tcPr>
          <w:p w14:paraId="3946BAAC" w14:textId="5667D0F8" w:rsidR="00472715" w:rsidRPr="00520C23" w:rsidRDefault="00472715" w:rsidP="00472715">
            <w:pPr>
              <w:spacing w:before="120"/>
              <w:rPr>
                <w:rFonts w:cstheme="minorHAnsi"/>
              </w:rPr>
            </w:pPr>
            <w:r w:rsidRPr="00520C23">
              <w:rPr>
                <w:rFonts w:cstheme="minorHAnsi"/>
                <w:b/>
                <w:i/>
                <w:iCs/>
              </w:rPr>
              <w:t>Water Act 1992</w:t>
            </w:r>
          </w:p>
          <w:p w14:paraId="69742223" w14:textId="7D35B6B2" w:rsidR="00472715" w:rsidRPr="00520C23" w:rsidRDefault="00472715" w:rsidP="00472715">
            <w:pPr>
              <w:spacing w:before="120"/>
              <w:rPr>
                <w:rFonts w:cstheme="minorHAnsi"/>
                <w:u w:val="single"/>
              </w:rPr>
            </w:pPr>
            <w:r w:rsidRPr="00520C23">
              <w:rPr>
                <w:rFonts w:cstheme="minorHAnsi"/>
                <w:u w:val="single"/>
              </w:rPr>
              <w:t>67 Grant of Recharge License</w:t>
            </w:r>
          </w:p>
          <w:p w14:paraId="3F64D482" w14:textId="77777777" w:rsidR="00472715" w:rsidRPr="00520C23" w:rsidRDefault="00472715" w:rsidP="00472715">
            <w:pPr>
              <w:spacing w:before="120"/>
              <w:rPr>
                <w:rFonts w:cstheme="minorHAnsi"/>
                <w:i/>
                <w:iCs/>
              </w:rPr>
            </w:pPr>
            <w:r w:rsidRPr="00520C23">
              <w:rPr>
                <w:rFonts w:cstheme="minorHAnsi"/>
                <w:i/>
                <w:iCs/>
              </w:rPr>
              <w:t>(4) The Controller must not grant a license that permits the increase of water contained in an aquifer with water that is or contains hydraulic fracturing waste.</w:t>
            </w:r>
          </w:p>
          <w:p w14:paraId="0B7A433B" w14:textId="279509FD" w:rsidR="00472715" w:rsidRPr="00520C23" w:rsidRDefault="00472715" w:rsidP="00472715">
            <w:pPr>
              <w:spacing w:before="120"/>
              <w:rPr>
                <w:rFonts w:cstheme="minorHAnsi"/>
                <w:i/>
                <w:iCs/>
              </w:rPr>
            </w:pPr>
            <w:r w:rsidRPr="00520C23">
              <w:rPr>
                <w:rFonts w:cstheme="minorHAnsi"/>
              </w:rPr>
              <w:t>The Water Act defines an aquifer as</w:t>
            </w:r>
            <w:r w:rsidRPr="00520C23">
              <w:rPr>
                <w:rFonts w:cstheme="minorHAnsi"/>
                <w:i/>
                <w:iCs/>
              </w:rPr>
              <w:t xml:space="preserve"> “a geological structure or formation, or  an  artificial landfill,  permeated  or  capable  of  being  permeated  permanently or intermittently with water.” </w:t>
            </w:r>
          </w:p>
          <w:p w14:paraId="5C6D2511" w14:textId="6C71F1A4" w:rsidR="00472715" w:rsidRPr="00520C23" w:rsidRDefault="00472715" w:rsidP="00472715">
            <w:pPr>
              <w:spacing w:before="120"/>
              <w:rPr>
                <w:rFonts w:cstheme="minorHAnsi"/>
              </w:rPr>
            </w:pPr>
          </w:p>
        </w:tc>
        <w:tc>
          <w:tcPr>
            <w:tcW w:w="5310" w:type="dxa"/>
            <w:shd w:val="clear" w:color="auto" w:fill="FED6D6"/>
          </w:tcPr>
          <w:p w14:paraId="26ACC711" w14:textId="495F7CFD" w:rsidR="00472715" w:rsidRPr="00520C23" w:rsidRDefault="00472715" w:rsidP="00472715">
            <w:pPr>
              <w:spacing w:before="120"/>
              <w:rPr>
                <w:rFonts w:cstheme="minorHAnsi"/>
              </w:rPr>
            </w:pPr>
            <w:r w:rsidRPr="00520C23">
              <w:rPr>
                <w:rFonts w:cstheme="minorHAnsi"/>
              </w:rPr>
              <w:t xml:space="preserve">The </w:t>
            </w:r>
            <w:r w:rsidRPr="00520C23">
              <w:rPr>
                <w:rFonts w:cstheme="minorHAnsi"/>
                <w:i/>
                <w:iCs/>
              </w:rPr>
              <w:t>Water Act</w:t>
            </w:r>
            <w:r w:rsidRPr="00520C23">
              <w:rPr>
                <w:rFonts w:cstheme="minorHAnsi"/>
              </w:rPr>
              <w:t xml:space="preserve"> does not adequately address recommendation 7.9. </w:t>
            </w:r>
          </w:p>
          <w:p w14:paraId="6F4AD36B" w14:textId="29FE286D" w:rsidR="00472715" w:rsidRPr="00520C23" w:rsidRDefault="00472715" w:rsidP="00472715">
            <w:pPr>
              <w:spacing w:before="120"/>
              <w:rPr>
                <w:rFonts w:cstheme="minorHAnsi"/>
                <w:i/>
                <w:iCs/>
                <w:u w:val="single"/>
              </w:rPr>
            </w:pPr>
            <w:r w:rsidRPr="00520C23">
              <w:rPr>
                <w:rFonts w:cstheme="minorHAnsi"/>
                <w:i/>
                <w:iCs/>
                <w:u w:val="single"/>
              </w:rPr>
              <w:t>Comments</w:t>
            </w:r>
          </w:p>
          <w:p w14:paraId="3F566726" w14:textId="0F392818" w:rsidR="00472715" w:rsidRPr="00520C23" w:rsidRDefault="00472715" w:rsidP="00472715">
            <w:pPr>
              <w:pStyle w:val="ListParagraph"/>
              <w:numPr>
                <w:ilvl w:val="0"/>
                <w:numId w:val="21"/>
              </w:numPr>
              <w:spacing w:before="120"/>
              <w:rPr>
                <w:rFonts w:cstheme="minorHAnsi"/>
              </w:rPr>
            </w:pPr>
            <w:r w:rsidRPr="427EBC34">
              <w:t xml:space="preserve">Section 67(4) of the </w:t>
            </w:r>
            <w:r w:rsidRPr="427EBC34">
              <w:rPr>
                <w:i/>
              </w:rPr>
              <w:t xml:space="preserve">Water Act </w:t>
            </w:r>
            <w:r w:rsidRPr="427EBC34">
              <w:t xml:space="preserve">bans injection of waste into aquifers, though whether the “conventional reservoirs” explicitly mentioned in the recommendation are necessarily aquifers as defined in the </w:t>
            </w:r>
            <w:r w:rsidRPr="427EBC34">
              <w:rPr>
                <w:i/>
              </w:rPr>
              <w:t>Act</w:t>
            </w:r>
            <w:r w:rsidRPr="427EBC34">
              <w:t xml:space="preserve"> is unclear, and therefore whether they could potentially be exempted from this </w:t>
            </w:r>
            <w:r w:rsidRPr="427EBC34">
              <w:rPr>
                <w:i/>
              </w:rPr>
              <w:t xml:space="preserve">Water Act </w:t>
            </w:r>
            <w:r w:rsidRPr="427EBC34">
              <w:t xml:space="preserve">restriction. </w:t>
            </w:r>
          </w:p>
          <w:p w14:paraId="14B286A9" w14:textId="2A9F60EE" w:rsidR="00472715" w:rsidRPr="00520C23" w:rsidRDefault="00472715" w:rsidP="00472715">
            <w:pPr>
              <w:pStyle w:val="ListParagraph"/>
              <w:numPr>
                <w:ilvl w:val="0"/>
                <w:numId w:val="21"/>
              </w:numPr>
              <w:spacing w:before="120"/>
              <w:rPr>
                <w:rFonts w:cstheme="minorHAnsi"/>
              </w:rPr>
            </w:pPr>
            <w:r w:rsidRPr="427EBC34">
              <w:t>A direct ban on reinjection of wastewater, whether treated or untreated, into all aquifers and conventional reservoirs would be more faithful to the recommendation.</w:t>
            </w:r>
          </w:p>
          <w:p w14:paraId="2E7541E9" w14:textId="0B6722FD" w:rsidR="00472715" w:rsidRPr="00520C23" w:rsidRDefault="00472715" w:rsidP="00472715">
            <w:pPr>
              <w:pStyle w:val="ListParagraph"/>
              <w:numPr>
                <w:ilvl w:val="0"/>
                <w:numId w:val="21"/>
              </w:numPr>
              <w:spacing w:before="120"/>
              <w:rPr>
                <w:rFonts w:cstheme="minorHAnsi"/>
              </w:rPr>
            </w:pPr>
            <w:r w:rsidRPr="427EBC34">
              <w:t>There is no codification of the final clause of the recommendation that requires “</w:t>
            </w:r>
            <w:r w:rsidRPr="427EBC34">
              <w:rPr>
                <w:i/>
              </w:rPr>
              <w:t>full scientific investigations [to] determine that all risks associated with these practices can be mitigated.</w:t>
            </w:r>
            <w:r w:rsidRPr="427EBC34">
              <w:t>”</w:t>
            </w:r>
          </w:p>
        </w:tc>
      </w:tr>
      <w:tr w:rsidR="00EA3C33" w:rsidRPr="00520C23" w14:paraId="7C97957B" w14:textId="479D56D3" w:rsidTr="00EA3C33">
        <w:tc>
          <w:tcPr>
            <w:tcW w:w="846" w:type="dxa"/>
            <w:shd w:val="clear" w:color="auto" w:fill="auto"/>
          </w:tcPr>
          <w:p w14:paraId="5BD8C27E" w14:textId="77777777" w:rsidR="00472715" w:rsidRPr="00520C23" w:rsidRDefault="00472715" w:rsidP="00472715">
            <w:pPr>
              <w:spacing w:before="120"/>
              <w:jc w:val="center"/>
              <w:rPr>
                <w:rFonts w:cstheme="minorHAnsi"/>
              </w:rPr>
            </w:pPr>
            <w:r w:rsidRPr="00520C23">
              <w:rPr>
                <w:rFonts w:cstheme="minorHAnsi"/>
              </w:rPr>
              <w:t>7.10</w:t>
            </w:r>
          </w:p>
        </w:tc>
        <w:tc>
          <w:tcPr>
            <w:tcW w:w="4819" w:type="dxa"/>
            <w:shd w:val="clear" w:color="auto" w:fill="auto"/>
          </w:tcPr>
          <w:p w14:paraId="2C8A7984" w14:textId="40CBC0A4"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w:t>
            </w:r>
            <w:r w:rsidRPr="00520C23">
              <w:rPr>
                <w:rFonts w:cstheme="minorHAnsi"/>
                <w:b/>
                <w:bCs/>
                <w:i/>
                <w:iCs/>
              </w:rPr>
              <w:t>the following information about hydraulic fracturing fluids must, as a matter of law, be reported and publicly disclosed</w:t>
            </w:r>
            <w:r w:rsidRPr="00520C23">
              <w:rPr>
                <w:rFonts w:cstheme="minorHAnsi"/>
                <w:i/>
                <w:iCs/>
              </w:rPr>
              <w:t xml:space="preserve"> before any exploration activities and production activities are carried out: </w:t>
            </w:r>
          </w:p>
          <w:p w14:paraId="57648ED9" w14:textId="2F901714" w:rsidR="00472715" w:rsidRPr="00520C23" w:rsidRDefault="00472715" w:rsidP="00472715">
            <w:pPr>
              <w:spacing w:before="120"/>
              <w:ind w:left="720"/>
              <w:rPr>
                <w:rFonts w:cstheme="minorHAnsi"/>
                <w:i/>
                <w:iCs/>
              </w:rPr>
            </w:pPr>
            <w:r w:rsidRPr="00520C23">
              <w:rPr>
                <w:rFonts w:cstheme="minorHAnsi"/>
                <w:i/>
                <w:iCs/>
              </w:rPr>
              <w:t xml:space="preserve">• the </w:t>
            </w:r>
            <w:r w:rsidRPr="00520C23">
              <w:rPr>
                <w:rFonts w:cstheme="minorHAnsi"/>
                <w:b/>
                <w:bCs/>
                <w:i/>
                <w:iCs/>
              </w:rPr>
              <w:t>identities, volumes and concentrations of chemicals</w:t>
            </w:r>
            <w:r w:rsidRPr="00520C23">
              <w:rPr>
                <w:rFonts w:cstheme="minorHAnsi"/>
                <w:i/>
                <w:iCs/>
              </w:rPr>
              <w:t xml:space="preserve"> (including environmentally relevant chemical species present as contaminants in the bulk chemicals) to be used; </w:t>
            </w:r>
          </w:p>
          <w:p w14:paraId="47C90920" w14:textId="77777777" w:rsidR="00472715" w:rsidRPr="00520C23" w:rsidRDefault="00472715" w:rsidP="00472715">
            <w:pPr>
              <w:spacing w:before="120"/>
              <w:ind w:left="720"/>
              <w:rPr>
                <w:rFonts w:cstheme="minorHAnsi"/>
                <w:i/>
                <w:iCs/>
              </w:rPr>
            </w:pPr>
            <w:r w:rsidRPr="00520C23">
              <w:rPr>
                <w:rFonts w:cstheme="minorHAnsi"/>
                <w:i/>
                <w:iCs/>
              </w:rPr>
              <w:t xml:space="preserve">• the </w:t>
            </w:r>
            <w:r w:rsidRPr="00520C23">
              <w:rPr>
                <w:rFonts w:cstheme="minorHAnsi"/>
                <w:b/>
                <w:bCs/>
                <w:i/>
                <w:iCs/>
              </w:rPr>
              <w:t>purpose of the chemicals</w:t>
            </w:r>
            <w:r w:rsidRPr="00520C23">
              <w:rPr>
                <w:rFonts w:cstheme="minorHAnsi"/>
                <w:i/>
                <w:iCs/>
              </w:rPr>
              <w:t xml:space="preserve">; </w:t>
            </w:r>
          </w:p>
          <w:p w14:paraId="066FF8DB" w14:textId="275778D5" w:rsidR="00472715" w:rsidRPr="00520C23" w:rsidRDefault="00472715" w:rsidP="00472715">
            <w:pPr>
              <w:spacing w:before="120"/>
              <w:ind w:left="720"/>
              <w:rPr>
                <w:rFonts w:cstheme="minorHAnsi"/>
                <w:i/>
                <w:iCs/>
              </w:rPr>
            </w:pPr>
            <w:r w:rsidRPr="00520C23">
              <w:rPr>
                <w:rFonts w:cstheme="minorHAnsi"/>
                <w:i/>
                <w:iCs/>
              </w:rPr>
              <w:t xml:space="preserve">• </w:t>
            </w:r>
            <w:r w:rsidRPr="00520C23">
              <w:rPr>
                <w:rFonts w:cstheme="minorHAnsi"/>
                <w:b/>
                <w:bCs/>
                <w:i/>
                <w:iCs/>
              </w:rPr>
              <w:t>how and where the chemicals will be managed and transported on-site</w:t>
            </w:r>
            <w:r w:rsidRPr="00520C23">
              <w:rPr>
                <w:rFonts w:cstheme="minorHAnsi"/>
                <w:i/>
                <w:iCs/>
              </w:rPr>
              <w:t xml:space="preserve">, including how spills will be prevented, and if spills do occur, how they will be remediated and managed; and </w:t>
            </w:r>
          </w:p>
          <w:p w14:paraId="5186A9CC" w14:textId="77777777" w:rsidR="00472715" w:rsidRPr="00520C23" w:rsidRDefault="00472715" w:rsidP="00472715">
            <w:pPr>
              <w:spacing w:before="120"/>
              <w:ind w:left="720"/>
              <w:rPr>
                <w:rFonts w:cstheme="minorHAnsi"/>
                <w:i/>
                <w:iCs/>
              </w:rPr>
            </w:pPr>
            <w:r w:rsidRPr="00520C23">
              <w:rPr>
                <w:rFonts w:cstheme="minorHAnsi"/>
                <w:i/>
                <w:iCs/>
              </w:rPr>
              <w:lastRenderedPageBreak/>
              <w:t xml:space="preserve">• the </w:t>
            </w:r>
            <w:r w:rsidRPr="00520C23">
              <w:rPr>
                <w:rFonts w:cstheme="minorHAnsi"/>
                <w:b/>
                <w:bCs/>
                <w:i/>
                <w:iCs/>
              </w:rPr>
              <w:t>laws that apply</w:t>
            </w:r>
            <w:r w:rsidRPr="00520C23">
              <w:rPr>
                <w:rFonts w:cstheme="minorHAnsi"/>
                <w:i/>
                <w:iCs/>
              </w:rPr>
              <w:t xml:space="preserve"> to the management of the chemicals and how they are enforced. </w:t>
            </w:r>
          </w:p>
          <w:p w14:paraId="5393B615" w14:textId="4D28C3C5" w:rsidR="00472715" w:rsidRPr="00520C23" w:rsidRDefault="00472715" w:rsidP="00472715">
            <w:pPr>
              <w:spacing w:before="120"/>
              <w:rPr>
                <w:rFonts w:cstheme="minorHAnsi"/>
                <w:i/>
                <w:iCs/>
              </w:rPr>
            </w:pPr>
            <w:r w:rsidRPr="00520C23">
              <w:rPr>
                <w:rFonts w:cstheme="minorHAnsi"/>
                <w:i/>
                <w:iCs/>
              </w:rPr>
              <w:t xml:space="preserve">That the following information about flowback and produced water </w:t>
            </w:r>
            <w:r w:rsidRPr="00520C23">
              <w:rPr>
                <w:rFonts w:cstheme="minorHAnsi"/>
                <w:b/>
                <w:bCs/>
                <w:i/>
                <w:iCs/>
              </w:rPr>
              <w:t>must be reported and publicly disclosed online as soon as it becomes available</w:t>
            </w:r>
            <w:r w:rsidRPr="00520C23">
              <w:rPr>
                <w:rFonts w:cstheme="minorHAnsi"/>
                <w:i/>
                <w:iCs/>
              </w:rPr>
              <w:t xml:space="preserve">: </w:t>
            </w:r>
          </w:p>
          <w:p w14:paraId="7A65EA50" w14:textId="77777777" w:rsidR="00472715" w:rsidRPr="00520C23" w:rsidRDefault="00472715" w:rsidP="00472715">
            <w:pPr>
              <w:spacing w:before="120"/>
              <w:ind w:left="720"/>
              <w:rPr>
                <w:rFonts w:cstheme="minorHAnsi"/>
                <w:i/>
                <w:iCs/>
              </w:rPr>
            </w:pPr>
            <w:r w:rsidRPr="00520C23">
              <w:rPr>
                <w:rFonts w:cstheme="minorHAnsi"/>
                <w:i/>
                <w:iCs/>
              </w:rPr>
              <w:t xml:space="preserve">• the </w:t>
            </w:r>
            <w:r w:rsidRPr="00520C23">
              <w:rPr>
                <w:rFonts w:cstheme="minorHAnsi"/>
                <w:b/>
                <w:bCs/>
                <w:i/>
                <w:iCs/>
              </w:rPr>
              <w:t>identity and concentrations of chemicals and NORMs</w:t>
            </w:r>
            <w:r w:rsidRPr="00520C23">
              <w:rPr>
                <w:rFonts w:cstheme="minorHAnsi"/>
                <w:i/>
                <w:iCs/>
              </w:rPr>
              <w:t xml:space="preserve"> found in that water; </w:t>
            </w:r>
          </w:p>
          <w:p w14:paraId="32DAEEDB" w14:textId="1EA84159" w:rsidR="00472715" w:rsidRPr="00520C23" w:rsidRDefault="00472715" w:rsidP="00472715">
            <w:pPr>
              <w:spacing w:before="120"/>
              <w:ind w:left="720"/>
              <w:rPr>
                <w:rFonts w:cstheme="minorHAnsi"/>
                <w:i/>
                <w:iCs/>
              </w:rPr>
            </w:pPr>
            <w:r w:rsidRPr="00520C23">
              <w:rPr>
                <w:rFonts w:cstheme="minorHAnsi"/>
                <w:i/>
                <w:iCs/>
              </w:rPr>
              <w:t xml:space="preserve">• </w:t>
            </w:r>
            <w:r w:rsidRPr="00520C23">
              <w:rPr>
                <w:rFonts w:cstheme="minorHAnsi"/>
                <w:b/>
                <w:bCs/>
                <w:i/>
                <w:iCs/>
              </w:rPr>
              <w:t>how and where the chemicals and NORMs will be managed, transported and treated,</w:t>
            </w:r>
            <w:r w:rsidRPr="00520C23">
              <w:rPr>
                <w:rFonts w:cstheme="minorHAnsi"/>
                <w:i/>
                <w:iCs/>
              </w:rPr>
              <w:t xml:space="preserve"> including how spills will be prevented, and if spills occur, how they will be remediated and managed; and </w:t>
            </w:r>
          </w:p>
          <w:p w14:paraId="0E7A1580" w14:textId="199C2A0C" w:rsidR="00472715" w:rsidRPr="00520C23" w:rsidRDefault="00472715" w:rsidP="00472715">
            <w:pPr>
              <w:spacing w:before="120"/>
              <w:ind w:left="720"/>
              <w:rPr>
                <w:rFonts w:cstheme="minorHAnsi"/>
                <w:i/>
                <w:iCs/>
              </w:rPr>
            </w:pPr>
            <w:r w:rsidRPr="00520C23">
              <w:rPr>
                <w:rFonts w:cstheme="minorHAnsi"/>
                <w:i/>
                <w:iCs/>
              </w:rPr>
              <w:t xml:space="preserve">• the </w:t>
            </w:r>
            <w:r w:rsidRPr="00520C23">
              <w:rPr>
                <w:rFonts w:cstheme="minorHAnsi"/>
                <w:b/>
                <w:bCs/>
                <w:i/>
                <w:iCs/>
              </w:rPr>
              <w:t xml:space="preserve">laws that apply </w:t>
            </w:r>
            <w:r w:rsidRPr="00520C23">
              <w:rPr>
                <w:rFonts w:cstheme="minorHAnsi"/>
                <w:i/>
                <w:iCs/>
              </w:rPr>
              <w:t xml:space="preserve">to the management of the chemicals and NORMs and how they are enforced. </w:t>
            </w:r>
          </w:p>
        </w:tc>
        <w:tc>
          <w:tcPr>
            <w:tcW w:w="5760" w:type="dxa"/>
            <w:shd w:val="clear" w:color="auto" w:fill="auto"/>
          </w:tcPr>
          <w:p w14:paraId="439E70F8" w14:textId="623340D8"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lastRenderedPageBreak/>
              <w:t xml:space="preserve">The </w:t>
            </w:r>
            <w:hyperlink r:id="rId25">
              <w:r w:rsidRPr="00520C23">
                <w:rPr>
                  <w:rStyle w:val="Hyperlink"/>
                  <w:rFonts w:ascii="Calibri" w:eastAsia="Calibri" w:hAnsi="Calibri" w:cs="Calibri"/>
                </w:rPr>
                <w:t>Petroleum (Environment) Regulations 2016</w:t>
              </w:r>
            </w:hyperlink>
            <w:r w:rsidRPr="00520C23">
              <w:rPr>
                <w:rFonts w:ascii="Calibri" w:eastAsia="Calibri" w:hAnsi="Calibri" w:cs="Calibri"/>
                <w:color w:val="313131"/>
              </w:rPr>
              <w:t xml:space="preserve"> were amended on 19 December 2018 to meet this recommendation, which requires that the information specified in the recommendation is included in an Environment Management Plan (EMP), is reported and made available online.</w:t>
            </w:r>
          </w:p>
        </w:tc>
        <w:tc>
          <w:tcPr>
            <w:tcW w:w="5670" w:type="dxa"/>
            <w:shd w:val="clear" w:color="auto" w:fill="auto"/>
          </w:tcPr>
          <w:p w14:paraId="3A70AA11" w14:textId="77777777" w:rsidR="00472715" w:rsidRPr="00520C23" w:rsidRDefault="00472715" w:rsidP="00472715">
            <w:pPr>
              <w:spacing w:before="120"/>
              <w:rPr>
                <w:rFonts w:cstheme="minorHAnsi"/>
                <w:b/>
              </w:rPr>
            </w:pPr>
            <w:r w:rsidRPr="00520C23">
              <w:rPr>
                <w:rFonts w:cstheme="minorHAnsi"/>
                <w:b/>
              </w:rPr>
              <w:t>Code of Practice</w:t>
            </w:r>
          </w:p>
          <w:p w14:paraId="2223437C" w14:textId="629C9BAB" w:rsidR="00472715" w:rsidRPr="00520C23" w:rsidRDefault="00472715" w:rsidP="00472715">
            <w:pPr>
              <w:spacing w:before="120"/>
              <w:rPr>
                <w:rFonts w:cstheme="minorHAnsi"/>
                <w:u w:val="single"/>
              </w:rPr>
            </w:pPr>
            <w:r w:rsidRPr="00520C23">
              <w:rPr>
                <w:rFonts w:cstheme="minorHAnsi"/>
                <w:bCs/>
                <w:u w:val="single"/>
              </w:rPr>
              <w:t>B.4.13 Hydraulic stimulation and flowback operations</w:t>
            </w:r>
          </w:p>
          <w:p w14:paraId="1B2043FC" w14:textId="3182B06E" w:rsidR="00472715" w:rsidRPr="00520C23" w:rsidRDefault="00472715" w:rsidP="00472715">
            <w:pPr>
              <w:spacing w:before="120"/>
              <w:rPr>
                <w:rFonts w:cstheme="minorHAnsi"/>
                <w:u w:val="single"/>
              </w:rPr>
            </w:pPr>
            <w:r w:rsidRPr="00520C23">
              <w:rPr>
                <w:rFonts w:cstheme="minorHAnsi"/>
                <w:u w:val="single"/>
              </w:rPr>
              <w:t>B.4.13.2 Mandatory requirements</w:t>
            </w:r>
          </w:p>
          <w:p w14:paraId="3FDCE1F4" w14:textId="77777777" w:rsidR="00472715" w:rsidRPr="00520C23" w:rsidRDefault="00472715" w:rsidP="00472715">
            <w:pPr>
              <w:spacing w:before="120"/>
              <w:rPr>
                <w:rFonts w:cstheme="minorHAnsi"/>
                <w:i/>
                <w:iCs/>
              </w:rPr>
            </w:pPr>
            <w:r w:rsidRPr="00520C23">
              <w:rPr>
                <w:rFonts w:cstheme="minorHAnsi"/>
                <w:i/>
                <w:iCs/>
              </w:rPr>
              <w:t xml:space="preserve">(c) In accordance with Schedule 1, Part 2, Clause 6 and Part 3, Clause 11 of the </w:t>
            </w:r>
            <w:r w:rsidRPr="00520C23">
              <w:rPr>
                <w:rFonts w:cstheme="minorHAnsi"/>
                <w:b/>
                <w:bCs/>
                <w:i/>
                <w:iCs/>
              </w:rPr>
              <w:t>PER</w:t>
            </w:r>
            <w:r w:rsidRPr="00520C23">
              <w:rPr>
                <w:rFonts w:cstheme="minorHAnsi"/>
                <w:i/>
                <w:iCs/>
              </w:rPr>
              <w:t xml:space="preserve">, the Implementation Strategy of an EMP for petroleum activities that include hydraulic fracture stimulation must include details of monitoring and reporting of the as-pumped composition of any hydraulic fracturing fluid used. As a minimum, the following must be recorded and reported for each stage (where a stage in this context means all fluids pumped at a particular depth interval): </w:t>
            </w:r>
          </w:p>
          <w:p w14:paraId="17D52B74" w14:textId="77777777" w:rsidR="00472715" w:rsidRPr="00520C23" w:rsidRDefault="00472715" w:rsidP="00472715">
            <w:pPr>
              <w:spacing w:before="120"/>
              <w:ind w:left="720"/>
              <w:rPr>
                <w:rFonts w:cstheme="minorHAnsi"/>
                <w:i/>
                <w:iCs/>
              </w:rPr>
            </w:pPr>
            <w:r w:rsidRPr="00520C23">
              <w:rPr>
                <w:rFonts w:cstheme="minorHAnsi"/>
                <w:i/>
                <w:iCs/>
              </w:rPr>
              <w:t xml:space="preserve">a. total volume of hydraulic fracturing fluid pumped, </w:t>
            </w:r>
          </w:p>
          <w:p w14:paraId="67F0C480" w14:textId="1F413667" w:rsidR="00472715" w:rsidRPr="00520C23" w:rsidRDefault="00472715" w:rsidP="00472715">
            <w:pPr>
              <w:spacing w:before="120"/>
              <w:ind w:left="720"/>
              <w:rPr>
                <w:rFonts w:cstheme="minorHAnsi"/>
                <w:i/>
                <w:iCs/>
              </w:rPr>
            </w:pPr>
            <w:r w:rsidRPr="00520C23">
              <w:rPr>
                <w:rFonts w:cstheme="minorHAnsi"/>
                <w:i/>
                <w:iCs/>
              </w:rPr>
              <w:t xml:space="preserve">b. quality of water used (tested for analytes in section C.8 of this Code. Analyses do not need to be repeated if the same water source is used for multiple stages) and </w:t>
            </w:r>
          </w:p>
          <w:p w14:paraId="1F0E6DFC" w14:textId="1E033342" w:rsidR="00472715" w:rsidRPr="00520C23" w:rsidRDefault="00472715" w:rsidP="00472715">
            <w:pPr>
              <w:spacing w:before="120"/>
              <w:ind w:left="720"/>
              <w:rPr>
                <w:rFonts w:cstheme="minorHAnsi"/>
                <w:i/>
                <w:iCs/>
              </w:rPr>
            </w:pPr>
            <w:r w:rsidRPr="00520C23">
              <w:rPr>
                <w:rFonts w:cstheme="minorHAnsi"/>
                <w:i/>
                <w:iCs/>
              </w:rPr>
              <w:lastRenderedPageBreak/>
              <w:t xml:space="preserve">c. typical and maximum concentrations of chemicals or other substances used. </w:t>
            </w:r>
          </w:p>
          <w:p w14:paraId="61E3AC18" w14:textId="77777777" w:rsidR="00472715" w:rsidRPr="00520C23" w:rsidRDefault="00472715" w:rsidP="00472715">
            <w:pPr>
              <w:spacing w:before="120"/>
              <w:rPr>
                <w:rFonts w:cstheme="minorHAnsi"/>
                <w:i/>
                <w:iCs/>
              </w:rPr>
            </w:pPr>
          </w:p>
          <w:p w14:paraId="58BA9113" w14:textId="3A5597B7" w:rsidR="00472715" w:rsidRPr="00520C23" w:rsidRDefault="00472715" w:rsidP="00472715">
            <w:pPr>
              <w:spacing w:before="120"/>
              <w:rPr>
                <w:rFonts w:cstheme="minorHAnsi"/>
              </w:rPr>
            </w:pPr>
            <w:r w:rsidRPr="00520C23">
              <w:rPr>
                <w:rFonts w:cstheme="minorHAnsi"/>
                <w:iCs/>
              </w:rPr>
              <w:t>T</w:t>
            </w:r>
            <w:r w:rsidRPr="00520C23">
              <w:rPr>
                <w:rFonts w:cstheme="minorHAnsi"/>
              </w:rPr>
              <w:t xml:space="preserve">he </w:t>
            </w:r>
            <w:r w:rsidRPr="00520C23">
              <w:rPr>
                <w:rFonts w:cstheme="minorHAnsi"/>
                <w:b/>
                <w:i/>
                <w:iCs/>
              </w:rPr>
              <w:t>Petroleum (Environment) Regulations</w:t>
            </w:r>
            <w:r w:rsidRPr="00520C23">
              <w:rPr>
                <w:rFonts w:cstheme="minorHAnsi"/>
              </w:rPr>
              <w:t xml:space="preserve"> were amended to require an EMP for hydraulic fracturing to include “</w:t>
            </w:r>
            <w:r w:rsidRPr="00520C23">
              <w:rPr>
                <w:rFonts w:cstheme="minorHAnsi"/>
                <w:i/>
                <w:iCs/>
              </w:rPr>
              <w:t>the details about any chemical or other substance that may be in, or added to, any treatment fluids to be used in the course of the activity</w:t>
            </w:r>
            <w:r w:rsidRPr="00520C23">
              <w:rPr>
                <w:rFonts w:cstheme="minorHAnsi"/>
              </w:rPr>
              <w:t xml:space="preserve">” (reg. 8(4)(ba)). In addition, Schedule 1 to the PER, which outlines the information to be included in an EMP, provides: </w:t>
            </w:r>
          </w:p>
          <w:p w14:paraId="7E4B59C7" w14:textId="77777777" w:rsidR="00472715" w:rsidRPr="00520C23" w:rsidRDefault="00472715" w:rsidP="00472715">
            <w:pPr>
              <w:spacing w:before="120"/>
              <w:rPr>
                <w:rFonts w:cstheme="minorHAnsi"/>
                <w:b/>
              </w:rPr>
            </w:pPr>
            <w:r w:rsidRPr="00520C23">
              <w:rPr>
                <w:rFonts w:cstheme="minorHAnsi"/>
                <w:b/>
              </w:rPr>
              <w:t>4A</w:t>
            </w:r>
            <w:r w:rsidRPr="00520C23">
              <w:rPr>
                <w:rFonts w:cstheme="minorHAnsi"/>
                <w:b/>
              </w:rPr>
              <w:tab/>
              <w:t>Chemicals used in the course of hydraulic fracturing</w:t>
            </w:r>
          </w:p>
          <w:p w14:paraId="2BC033DC" w14:textId="77628F01" w:rsidR="00472715" w:rsidRPr="00520C23" w:rsidRDefault="00472715" w:rsidP="00472715">
            <w:pPr>
              <w:spacing w:before="120"/>
              <w:rPr>
                <w:rFonts w:cstheme="minorHAnsi"/>
              </w:rPr>
            </w:pPr>
            <w:r w:rsidRPr="00520C23">
              <w:rPr>
                <w:rFonts w:cstheme="minorHAnsi"/>
              </w:rPr>
              <w:t>If the activity is hydraulic fracturing, a plan must specify the following information in relation to any chemical or other substance that may be in, or added to, any treatment fluids to be used in the course of the activity:</w:t>
            </w:r>
          </w:p>
          <w:p w14:paraId="07924F79" w14:textId="77777777" w:rsidR="00472715" w:rsidRPr="00520C23" w:rsidRDefault="00472715" w:rsidP="00472715">
            <w:pPr>
              <w:spacing w:before="120"/>
              <w:rPr>
                <w:rFonts w:cstheme="minorHAnsi"/>
                <w:i/>
                <w:iCs/>
              </w:rPr>
            </w:pPr>
            <w:r w:rsidRPr="00520C23">
              <w:rPr>
                <w:rFonts w:cstheme="minorHAnsi"/>
                <w:i/>
                <w:iCs/>
              </w:rPr>
              <w:t>(a)</w:t>
            </w:r>
            <w:r w:rsidRPr="00520C23">
              <w:rPr>
                <w:rFonts w:cstheme="minorHAnsi"/>
                <w:i/>
                <w:iCs/>
              </w:rPr>
              <w:tab/>
              <w:t>the identity of the chemical or other substance;</w:t>
            </w:r>
          </w:p>
          <w:p w14:paraId="12FF928D" w14:textId="77777777" w:rsidR="00472715" w:rsidRPr="00520C23" w:rsidRDefault="00472715" w:rsidP="00472715">
            <w:pPr>
              <w:rPr>
                <w:rFonts w:cstheme="minorHAnsi"/>
                <w:i/>
                <w:iCs/>
              </w:rPr>
            </w:pPr>
            <w:r w:rsidRPr="00520C23">
              <w:rPr>
                <w:rFonts w:cstheme="minorHAnsi"/>
                <w:i/>
                <w:iCs/>
              </w:rPr>
              <w:t>(b)</w:t>
            </w:r>
            <w:r w:rsidRPr="00520C23">
              <w:rPr>
                <w:rFonts w:cstheme="minorHAnsi"/>
                <w:i/>
                <w:iCs/>
              </w:rPr>
              <w:tab/>
              <w:t>the volume of the chemical or other substance;</w:t>
            </w:r>
          </w:p>
          <w:p w14:paraId="71A5EA89" w14:textId="77777777" w:rsidR="00472715" w:rsidRPr="00520C23" w:rsidRDefault="00472715" w:rsidP="00472715">
            <w:pPr>
              <w:rPr>
                <w:rFonts w:cstheme="minorHAnsi"/>
                <w:i/>
                <w:iCs/>
              </w:rPr>
            </w:pPr>
            <w:r w:rsidRPr="00520C23">
              <w:rPr>
                <w:rFonts w:cstheme="minorHAnsi"/>
                <w:i/>
                <w:iCs/>
              </w:rPr>
              <w:t>(c)</w:t>
            </w:r>
            <w:r w:rsidRPr="00520C23">
              <w:rPr>
                <w:rFonts w:cstheme="minorHAnsi"/>
                <w:i/>
                <w:iCs/>
              </w:rPr>
              <w:tab/>
              <w:t>the concentration of the chemical or other substance;</w:t>
            </w:r>
          </w:p>
          <w:p w14:paraId="05237645" w14:textId="77777777" w:rsidR="00472715" w:rsidRPr="00520C23" w:rsidRDefault="00472715" w:rsidP="00472715">
            <w:pPr>
              <w:rPr>
                <w:rFonts w:cstheme="minorHAnsi"/>
                <w:i/>
                <w:iCs/>
              </w:rPr>
            </w:pPr>
            <w:r w:rsidRPr="00520C23">
              <w:rPr>
                <w:rFonts w:cstheme="minorHAnsi"/>
                <w:i/>
                <w:iCs/>
              </w:rPr>
              <w:t>(d)</w:t>
            </w:r>
            <w:r w:rsidRPr="00520C23">
              <w:rPr>
                <w:rFonts w:cstheme="minorHAnsi"/>
                <w:i/>
                <w:iCs/>
              </w:rPr>
              <w:tab/>
              <w:t>the purpose of the chemical or other substance;</w:t>
            </w:r>
          </w:p>
          <w:p w14:paraId="3C7CE924" w14:textId="77777777" w:rsidR="00472715" w:rsidRPr="00520C23" w:rsidRDefault="00472715" w:rsidP="00472715">
            <w:pPr>
              <w:rPr>
                <w:rFonts w:cstheme="minorHAnsi"/>
                <w:i/>
                <w:iCs/>
              </w:rPr>
            </w:pPr>
            <w:r w:rsidRPr="00520C23">
              <w:rPr>
                <w:rFonts w:cstheme="minorHAnsi"/>
                <w:i/>
                <w:iCs/>
              </w:rPr>
              <w:t>(e)</w:t>
            </w:r>
            <w:r w:rsidRPr="00520C23">
              <w:rPr>
                <w:rFonts w:cstheme="minorHAnsi"/>
                <w:i/>
                <w:iCs/>
              </w:rPr>
              <w:tab/>
              <w:t>details regarding how the chemical or other substance will be managed;</w:t>
            </w:r>
          </w:p>
          <w:p w14:paraId="1F08ED23" w14:textId="77777777" w:rsidR="00472715" w:rsidRPr="00520C23" w:rsidRDefault="00472715" w:rsidP="00472715">
            <w:pPr>
              <w:rPr>
                <w:rFonts w:cstheme="minorHAnsi"/>
                <w:i/>
                <w:iCs/>
              </w:rPr>
            </w:pPr>
            <w:r w:rsidRPr="00520C23">
              <w:rPr>
                <w:rFonts w:cstheme="minorHAnsi"/>
                <w:i/>
                <w:iCs/>
              </w:rPr>
              <w:t>(f)</w:t>
            </w:r>
            <w:r w:rsidRPr="00520C23">
              <w:rPr>
                <w:rFonts w:cstheme="minorHAnsi"/>
                <w:i/>
                <w:iCs/>
              </w:rPr>
              <w:tab/>
              <w:t>details regarding how the chemical or other substance will be transported on-site;</w:t>
            </w:r>
          </w:p>
          <w:p w14:paraId="347E1023" w14:textId="77777777" w:rsidR="00472715" w:rsidRPr="00520C23" w:rsidRDefault="00472715" w:rsidP="00472715">
            <w:pPr>
              <w:ind w:left="720" w:hanging="720"/>
              <w:rPr>
                <w:rFonts w:cstheme="minorHAnsi"/>
                <w:i/>
                <w:iCs/>
              </w:rPr>
            </w:pPr>
            <w:r w:rsidRPr="00520C23">
              <w:rPr>
                <w:rFonts w:cstheme="minorHAnsi"/>
                <w:i/>
                <w:iCs/>
              </w:rPr>
              <w:t>(g)</w:t>
            </w:r>
            <w:r w:rsidRPr="00520C23">
              <w:rPr>
                <w:rFonts w:cstheme="minorHAnsi"/>
                <w:i/>
                <w:iCs/>
              </w:rPr>
              <w:tab/>
              <w:t>details regarding any action proposed to be taken to prevent a spill of the chemical or other substance;</w:t>
            </w:r>
          </w:p>
          <w:p w14:paraId="633DDFEF" w14:textId="77777777" w:rsidR="00472715" w:rsidRPr="00520C23" w:rsidRDefault="00472715" w:rsidP="00472715">
            <w:pPr>
              <w:ind w:left="720" w:hanging="720"/>
              <w:rPr>
                <w:rFonts w:cstheme="minorHAnsi"/>
                <w:i/>
                <w:iCs/>
              </w:rPr>
            </w:pPr>
            <w:r w:rsidRPr="00520C23">
              <w:rPr>
                <w:rFonts w:cstheme="minorHAnsi"/>
                <w:i/>
                <w:iCs/>
              </w:rPr>
              <w:t>(h)</w:t>
            </w:r>
            <w:r w:rsidRPr="00520C23">
              <w:rPr>
                <w:rFonts w:cstheme="minorHAnsi"/>
                <w:i/>
                <w:iCs/>
              </w:rPr>
              <w:tab/>
              <w:t>the requirements in relation to the management of the chemical or other substance of the prescribed chemical legislation.</w:t>
            </w:r>
          </w:p>
          <w:p w14:paraId="101640A0" w14:textId="77777777" w:rsidR="00472715" w:rsidRPr="00520C23" w:rsidRDefault="00472715" w:rsidP="00472715">
            <w:pPr>
              <w:rPr>
                <w:rFonts w:cstheme="minorHAnsi"/>
                <w:b/>
                <w:bCs/>
                <w:iCs/>
              </w:rPr>
            </w:pPr>
          </w:p>
          <w:p w14:paraId="0FD0AE0E" w14:textId="0DE62961" w:rsidR="00472715" w:rsidRPr="00520C23" w:rsidRDefault="00472715" w:rsidP="00472715">
            <w:pPr>
              <w:rPr>
                <w:rFonts w:cstheme="minorHAnsi"/>
                <w:iCs/>
              </w:rPr>
            </w:pPr>
            <w:r w:rsidRPr="00520C23">
              <w:rPr>
                <w:rFonts w:cstheme="minorHAnsi"/>
                <w:b/>
                <w:bCs/>
                <w:iCs/>
              </w:rPr>
              <w:t xml:space="preserve">Note: </w:t>
            </w:r>
            <w:r w:rsidRPr="00520C23">
              <w:rPr>
                <w:rFonts w:cstheme="minorHAnsi"/>
                <w:iCs/>
              </w:rPr>
              <w:t>for clause 4A(e), “managed” includes handling, collecting and storing any chemical or other substance.</w:t>
            </w:r>
          </w:p>
          <w:p w14:paraId="4EAD6842" w14:textId="7C17A7FD" w:rsidR="00472715" w:rsidRPr="00520C23" w:rsidRDefault="00472715" w:rsidP="00472715">
            <w:pPr>
              <w:spacing w:before="120"/>
              <w:rPr>
                <w:rFonts w:cstheme="minorHAnsi"/>
              </w:rPr>
            </w:pPr>
            <w:r w:rsidRPr="00520C23">
              <w:rPr>
                <w:rFonts w:cstheme="minorHAnsi"/>
              </w:rPr>
              <w:t xml:space="preserve">In relation to flowback and produced water, the </w:t>
            </w:r>
            <w:r w:rsidRPr="00520C23">
              <w:rPr>
                <w:rFonts w:cstheme="minorHAnsi"/>
                <w:b/>
              </w:rPr>
              <w:t>PER</w:t>
            </w:r>
            <w:r w:rsidRPr="00520C23">
              <w:rPr>
                <w:rFonts w:cstheme="minorHAnsi"/>
              </w:rPr>
              <w:t xml:space="preserve"> was amended to require reporting of flowback fluid and produced water “within 6 months” of the “flowback occurring” (s 37A(1))/the produced water being extracted” (s 37B(1)).  </w:t>
            </w:r>
          </w:p>
          <w:p w14:paraId="595747D9" w14:textId="4E78FE59" w:rsidR="00472715" w:rsidRPr="00520C23" w:rsidRDefault="00472715" w:rsidP="00472715">
            <w:pPr>
              <w:spacing w:before="120"/>
              <w:rPr>
                <w:rFonts w:cstheme="minorHAnsi"/>
                <w:bCs/>
                <w:u w:val="single"/>
              </w:rPr>
            </w:pPr>
            <w:r w:rsidRPr="00520C23">
              <w:rPr>
                <w:rFonts w:cstheme="minorHAnsi"/>
                <w:bCs/>
                <w:u w:val="single"/>
              </w:rPr>
              <w:t xml:space="preserve">Part 3A Reporting requirements for hydraulic fracturing </w:t>
            </w:r>
          </w:p>
          <w:p w14:paraId="046C34D7" w14:textId="244B7ECC" w:rsidR="00472715" w:rsidRPr="00520C23" w:rsidRDefault="00472715" w:rsidP="00472715">
            <w:pPr>
              <w:spacing w:before="120"/>
              <w:rPr>
                <w:rFonts w:cstheme="minorHAnsi"/>
                <w:bCs/>
                <w:u w:val="single"/>
              </w:rPr>
            </w:pPr>
            <w:bookmarkStart w:id="0" w:name="_Toc16580638"/>
            <w:r w:rsidRPr="00520C23">
              <w:rPr>
                <w:rFonts w:cstheme="minorHAnsi"/>
                <w:bCs/>
                <w:u w:val="single"/>
              </w:rPr>
              <w:t>37A</w:t>
            </w:r>
            <w:r w:rsidRPr="00520C23">
              <w:rPr>
                <w:rFonts w:cstheme="minorHAnsi"/>
                <w:bCs/>
                <w:u w:val="single"/>
              </w:rPr>
              <w:tab/>
              <w:t>Report about flowback fluid</w:t>
            </w:r>
            <w:bookmarkEnd w:id="0"/>
          </w:p>
          <w:p w14:paraId="7FD6EF2C" w14:textId="576FFCE7" w:rsidR="00472715" w:rsidRPr="00520C23" w:rsidRDefault="00472715" w:rsidP="00472715">
            <w:pPr>
              <w:rPr>
                <w:rFonts w:cstheme="minorHAnsi"/>
                <w:bCs/>
                <w:i/>
                <w:iCs/>
              </w:rPr>
            </w:pPr>
            <w:r w:rsidRPr="00520C23">
              <w:rPr>
                <w:rFonts w:cstheme="minorHAnsi"/>
                <w:bCs/>
                <w:i/>
                <w:iCs/>
              </w:rPr>
              <w:t>(1) An interest holder in relation to an activity that includes hydraulic fracturing must give the Minister a report about flowback fluid within 6 months of the flowback occurring.</w:t>
            </w:r>
          </w:p>
          <w:p w14:paraId="7E461AC2" w14:textId="77777777" w:rsidR="00472715" w:rsidRPr="00520C23" w:rsidRDefault="00472715" w:rsidP="00472715">
            <w:pPr>
              <w:rPr>
                <w:rFonts w:cstheme="minorHAnsi"/>
                <w:bCs/>
                <w:i/>
                <w:iCs/>
              </w:rPr>
            </w:pPr>
          </w:p>
          <w:p w14:paraId="4BD4E2A1" w14:textId="09C101DB" w:rsidR="00472715" w:rsidRPr="00520C23" w:rsidRDefault="00472715" w:rsidP="00472715">
            <w:pPr>
              <w:rPr>
                <w:rFonts w:cstheme="minorHAnsi"/>
                <w:bCs/>
                <w:i/>
                <w:iCs/>
              </w:rPr>
            </w:pPr>
            <w:r w:rsidRPr="00520C23">
              <w:rPr>
                <w:rFonts w:cstheme="minorHAnsi"/>
                <w:bCs/>
                <w:i/>
                <w:iCs/>
              </w:rPr>
              <w:t xml:space="preserve">(2) The report must contain the following information: </w:t>
            </w:r>
          </w:p>
          <w:p w14:paraId="41071A2C" w14:textId="480ED09F" w:rsidR="00472715" w:rsidRPr="00520C23" w:rsidRDefault="00472715" w:rsidP="00472715">
            <w:pPr>
              <w:ind w:left="720"/>
              <w:rPr>
                <w:rFonts w:cstheme="minorHAnsi"/>
                <w:bCs/>
                <w:i/>
                <w:iCs/>
              </w:rPr>
            </w:pPr>
            <w:r w:rsidRPr="00520C23">
              <w:rPr>
                <w:rFonts w:cstheme="minorHAnsi"/>
                <w:bCs/>
                <w:i/>
                <w:iCs/>
              </w:rPr>
              <w:t>(a) the identity of any chemical or NORM found in the flowback fluid;</w:t>
            </w:r>
          </w:p>
          <w:p w14:paraId="4883E21A" w14:textId="4C6D9ACE" w:rsidR="00472715" w:rsidRPr="00520C23" w:rsidRDefault="00472715" w:rsidP="00472715">
            <w:pPr>
              <w:ind w:left="720"/>
              <w:rPr>
                <w:rFonts w:cstheme="minorHAnsi"/>
                <w:bCs/>
                <w:i/>
                <w:iCs/>
              </w:rPr>
            </w:pPr>
            <w:r w:rsidRPr="00520C23">
              <w:rPr>
                <w:rFonts w:cstheme="minorHAnsi"/>
                <w:bCs/>
                <w:i/>
                <w:iCs/>
              </w:rPr>
              <w:t>(b) the concentration of any chemical or NORM found in the flowback fluid;</w:t>
            </w:r>
          </w:p>
          <w:p w14:paraId="0685CA4D" w14:textId="6825AA6E" w:rsidR="00472715" w:rsidRPr="00520C23" w:rsidRDefault="00472715" w:rsidP="00472715">
            <w:pPr>
              <w:ind w:left="720"/>
              <w:rPr>
                <w:rFonts w:cstheme="minorHAnsi"/>
                <w:bCs/>
                <w:i/>
                <w:iCs/>
              </w:rPr>
            </w:pPr>
            <w:r w:rsidRPr="00520C23">
              <w:rPr>
                <w:rFonts w:cstheme="minorHAnsi"/>
                <w:bCs/>
                <w:i/>
                <w:iCs/>
              </w:rPr>
              <w:lastRenderedPageBreak/>
              <w:t>(c) details regarding how any chemical or NORM has been or will be managed;</w:t>
            </w:r>
          </w:p>
          <w:p w14:paraId="55AEB10E" w14:textId="16CC5D81" w:rsidR="00472715" w:rsidRPr="00520C23" w:rsidRDefault="00472715" w:rsidP="00472715">
            <w:pPr>
              <w:ind w:left="720"/>
              <w:rPr>
                <w:rFonts w:cstheme="minorHAnsi"/>
                <w:bCs/>
                <w:i/>
                <w:iCs/>
              </w:rPr>
            </w:pPr>
            <w:r w:rsidRPr="00520C23">
              <w:rPr>
                <w:rFonts w:cstheme="minorHAnsi"/>
                <w:bCs/>
                <w:i/>
                <w:iCs/>
              </w:rPr>
              <w:t>(d) details regarding how any chemical or NORM has been or will be transported;</w:t>
            </w:r>
          </w:p>
          <w:p w14:paraId="0AB6F34F" w14:textId="5F5DC655" w:rsidR="00472715" w:rsidRPr="00520C23" w:rsidRDefault="00472715" w:rsidP="00472715">
            <w:pPr>
              <w:ind w:left="720"/>
              <w:rPr>
                <w:rFonts w:cstheme="minorHAnsi"/>
                <w:bCs/>
                <w:i/>
                <w:iCs/>
              </w:rPr>
            </w:pPr>
            <w:r w:rsidRPr="00520C23">
              <w:rPr>
                <w:rFonts w:cstheme="minorHAnsi"/>
                <w:bCs/>
                <w:i/>
                <w:iCs/>
              </w:rPr>
              <w:t>(e) details regarding how any chemical or NORM has been or will be treated;</w:t>
            </w:r>
          </w:p>
          <w:p w14:paraId="27A0D500" w14:textId="3AC43869" w:rsidR="00472715" w:rsidRPr="00520C23" w:rsidRDefault="00472715" w:rsidP="00472715">
            <w:pPr>
              <w:ind w:left="720"/>
              <w:rPr>
                <w:rFonts w:cstheme="minorHAnsi"/>
                <w:bCs/>
                <w:i/>
                <w:iCs/>
              </w:rPr>
            </w:pPr>
            <w:r w:rsidRPr="00520C23">
              <w:rPr>
                <w:rFonts w:cstheme="minorHAnsi"/>
                <w:bCs/>
                <w:i/>
                <w:iCs/>
              </w:rPr>
              <w:t>(f) details regarding any action proposed to be taken to prevent any chemical or NORM spill;</w:t>
            </w:r>
          </w:p>
          <w:p w14:paraId="6018166C" w14:textId="0D19F6FF" w:rsidR="00472715" w:rsidRPr="00520C23" w:rsidRDefault="00472715" w:rsidP="00472715">
            <w:pPr>
              <w:ind w:left="720"/>
              <w:rPr>
                <w:rFonts w:cstheme="minorHAnsi"/>
                <w:bCs/>
                <w:i/>
                <w:iCs/>
              </w:rPr>
            </w:pPr>
            <w:r w:rsidRPr="00520C23">
              <w:rPr>
                <w:rFonts w:cstheme="minorHAnsi"/>
                <w:bCs/>
                <w:i/>
                <w:iCs/>
              </w:rPr>
              <w:t>(g) details of the emergency contingency plan included in the environment management plan to which the activity relates;</w:t>
            </w:r>
          </w:p>
          <w:p w14:paraId="17211AA2" w14:textId="725401AE" w:rsidR="00472715" w:rsidRPr="00520C23" w:rsidRDefault="00472715" w:rsidP="00472715">
            <w:pPr>
              <w:ind w:left="720"/>
              <w:rPr>
                <w:rFonts w:cstheme="minorHAnsi"/>
                <w:bCs/>
                <w:i/>
                <w:iCs/>
              </w:rPr>
            </w:pPr>
            <w:r w:rsidRPr="00520C23">
              <w:rPr>
                <w:rFonts w:cstheme="minorHAnsi"/>
                <w:bCs/>
                <w:i/>
                <w:iCs/>
              </w:rPr>
              <w:t>(h) the requirements in relation to the management of any chemical or NORM of the prescribed chemical legislation.</w:t>
            </w:r>
          </w:p>
          <w:p w14:paraId="6AA5A966" w14:textId="270AB23B" w:rsidR="00472715" w:rsidRPr="00520C23" w:rsidRDefault="00472715" w:rsidP="00472715">
            <w:pPr>
              <w:rPr>
                <w:rFonts w:cstheme="minorHAnsi"/>
                <w:bCs/>
                <w:i/>
                <w:iCs/>
              </w:rPr>
            </w:pPr>
            <w:r w:rsidRPr="00520C23">
              <w:rPr>
                <w:rFonts w:cstheme="minorHAnsi"/>
                <w:bCs/>
                <w:i/>
                <w:iCs/>
              </w:rPr>
              <w:t>…</w:t>
            </w:r>
          </w:p>
          <w:p w14:paraId="681AF71F" w14:textId="57E60968" w:rsidR="00472715" w:rsidRPr="00520C23" w:rsidRDefault="00472715" w:rsidP="00472715">
            <w:pPr>
              <w:rPr>
                <w:rFonts w:cstheme="minorHAnsi"/>
                <w:bCs/>
                <w:i/>
                <w:iCs/>
              </w:rPr>
            </w:pPr>
            <w:r w:rsidRPr="00520C23">
              <w:rPr>
                <w:rFonts w:cstheme="minorHAnsi"/>
                <w:bCs/>
                <w:i/>
                <w:iCs/>
              </w:rPr>
              <w:t>(5) The Minister must publish the report on the Agency's website within 5 business days after receiving the report.</w:t>
            </w:r>
          </w:p>
          <w:p w14:paraId="1AA0FBE6" w14:textId="272FA3E4" w:rsidR="00472715" w:rsidRPr="00520C23" w:rsidRDefault="00472715" w:rsidP="00472715">
            <w:pPr>
              <w:rPr>
                <w:rFonts w:cstheme="minorHAnsi"/>
                <w:bCs/>
                <w:i/>
                <w:iCs/>
              </w:rPr>
            </w:pPr>
            <w:r w:rsidRPr="00520C23">
              <w:rPr>
                <w:rFonts w:cstheme="minorHAnsi"/>
                <w:bCs/>
                <w:i/>
                <w:iCs/>
              </w:rPr>
              <w:t>(6) In this regulation:</w:t>
            </w:r>
          </w:p>
          <w:p w14:paraId="2CEC5A8E" w14:textId="283DE31F" w:rsidR="00472715" w:rsidRPr="00520C23" w:rsidRDefault="00472715" w:rsidP="00472715">
            <w:pPr>
              <w:rPr>
                <w:rFonts w:cstheme="minorHAnsi"/>
                <w:bCs/>
                <w:i/>
                <w:iCs/>
              </w:rPr>
            </w:pPr>
            <w:r w:rsidRPr="00520C23">
              <w:rPr>
                <w:rFonts w:cstheme="minorHAnsi"/>
                <w:bCs/>
                <w:i/>
                <w:iCs/>
              </w:rPr>
              <w:t>flowback fluid means fluid that is a mixture of hydraulic fracturing fluid and formation fluid that is allowed to flow from the well following hydraulic fracturing.</w:t>
            </w:r>
          </w:p>
          <w:p w14:paraId="693EE40A" w14:textId="77777777" w:rsidR="00472715" w:rsidRPr="00520C23" w:rsidRDefault="00472715" w:rsidP="00472715">
            <w:pPr>
              <w:rPr>
                <w:rFonts w:cstheme="minorHAnsi"/>
                <w:bCs/>
              </w:rPr>
            </w:pPr>
          </w:p>
          <w:p w14:paraId="0D0CF9EC" w14:textId="4CD90DE3" w:rsidR="00472715" w:rsidRPr="00520C23" w:rsidRDefault="00472715" w:rsidP="00472715">
            <w:pPr>
              <w:spacing w:before="120"/>
              <w:rPr>
                <w:rFonts w:cstheme="minorHAnsi"/>
                <w:bCs/>
                <w:u w:val="single"/>
              </w:rPr>
            </w:pPr>
            <w:bookmarkStart w:id="1" w:name="_Toc16580639"/>
            <w:r w:rsidRPr="00520C23">
              <w:rPr>
                <w:rFonts w:cstheme="minorHAnsi"/>
                <w:bCs/>
                <w:u w:val="single"/>
              </w:rPr>
              <w:t>37B</w:t>
            </w:r>
            <w:r w:rsidRPr="00520C23">
              <w:rPr>
                <w:rFonts w:cstheme="minorHAnsi"/>
                <w:bCs/>
                <w:u w:val="single"/>
              </w:rPr>
              <w:tab/>
              <w:t>Report about produced water</w:t>
            </w:r>
            <w:bookmarkEnd w:id="1"/>
          </w:p>
          <w:p w14:paraId="7316A129" w14:textId="1B032C0D" w:rsidR="00472715" w:rsidRPr="00520C23" w:rsidRDefault="00472715" w:rsidP="00472715">
            <w:pPr>
              <w:rPr>
                <w:rFonts w:cstheme="minorHAnsi"/>
                <w:bCs/>
                <w:i/>
                <w:iCs/>
              </w:rPr>
            </w:pPr>
            <w:r w:rsidRPr="00520C23">
              <w:rPr>
                <w:rFonts w:cstheme="minorHAnsi"/>
                <w:bCs/>
                <w:i/>
                <w:iCs/>
              </w:rPr>
              <w:t xml:space="preserve">(1) An interest holder in relation to an activity that includes hydraulic fracturing must give the Minister a report about produced water within 6 months of the produced water being extracted. </w:t>
            </w:r>
          </w:p>
          <w:p w14:paraId="63BDB9A7" w14:textId="77777777" w:rsidR="00472715" w:rsidRPr="00520C23" w:rsidRDefault="00472715" w:rsidP="00472715">
            <w:pPr>
              <w:rPr>
                <w:rFonts w:cstheme="minorHAnsi"/>
                <w:bCs/>
                <w:i/>
                <w:iCs/>
              </w:rPr>
            </w:pPr>
          </w:p>
          <w:p w14:paraId="3788BDA0" w14:textId="4374EA0E" w:rsidR="00472715" w:rsidRPr="00520C23" w:rsidRDefault="00472715" w:rsidP="00472715">
            <w:pPr>
              <w:rPr>
                <w:rFonts w:cstheme="minorHAnsi"/>
                <w:bCs/>
                <w:i/>
                <w:iCs/>
              </w:rPr>
            </w:pPr>
            <w:r w:rsidRPr="00520C23">
              <w:rPr>
                <w:rFonts w:cstheme="minorHAnsi"/>
                <w:bCs/>
                <w:i/>
                <w:iCs/>
              </w:rPr>
              <w:t>(2) The report must contain the following information:</w:t>
            </w:r>
          </w:p>
          <w:p w14:paraId="13DF86A2" w14:textId="257D5E4B" w:rsidR="00472715" w:rsidRPr="00520C23" w:rsidRDefault="00472715" w:rsidP="00472715">
            <w:pPr>
              <w:ind w:left="720"/>
              <w:rPr>
                <w:rFonts w:cstheme="minorHAnsi"/>
                <w:bCs/>
                <w:i/>
                <w:iCs/>
              </w:rPr>
            </w:pPr>
            <w:r w:rsidRPr="00520C23">
              <w:rPr>
                <w:rFonts w:cstheme="minorHAnsi"/>
                <w:bCs/>
                <w:i/>
                <w:iCs/>
              </w:rPr>
              <w:t>(a) the identity of any chemical or NORM found in the produced water;</w:t>
            </w:r>
          </w:p>
          <w:p w14:paraId="013CB0B9" w14:textId="5C2BE04E" w:rsidR="00472715" w:rsidRPr="00520C23" w:rsidRDefault="00472715" w:rsidP="00472715">
            <w:pPr>
              <w:ind w:left="720"/>
              <w:rPr>
                <w:rFonts w:cstheme="minorHAnsi"/>
                <w:bCs/>
                <w:i/>
                <w:iCs/>
              </w:rPr>
            </w:pPr>
            <w:r w:rsidRPr="00520C23">
              <w:rPr>
                <w:rFonts w:cstheme="minorHAnsi"/>
                <w:bCs/>
                <w:i/>
                <w:iCs/>
              </w:rPr>
              <w:t>(b) the concentration of any chemical or NORM found in the produced water;</w:t>
            </w:r>
          </w:p>
          <w:p w14:paraId="105461B5" w14:textId="3347376D" w:rsidR="00472715" w:rsidRPr="00520C23" w:rsidRDefault="00472715" w:rsidP="00472715">
            <w:pPr>
              <w:ind w:left="720"/>
              <w:rPr>
                <w:rFonts w:cstheme="minorHAnsi"/>
                <w:bCs/>
                <w:i/>
                <w:iCs/>
              </w:rPr>
            </w:pPr>
            <w:r w:rsidRPr="00520C23">
              <w:rPr>
                <w:rFonts w:cstheme="minorHAnsi"/>
                <w:bCs/>
                <w:i/>
                <w:iCs/>
              </w:rPr>
              <w:t>(c) details regarding how any chemical or NORM has been or will be managed;</w:t>
            </w:r>
          </w:p>
          <w:p w14:paraId="10350E96" w14:textId="2BB5742A" w:rsidR="00472715" w:rsidRPr="00520C23" w:rsidRDefault="00472715" w:rsidP="00472715">
            <w:pPr>
              <w:ind w:left="720"/>
              <w:rPr>
                <w:rFonts w:cstheme="minorHAnsi"/>
                <w:bCs/>
                <w:i/>
                <w:iCs/>
              </w:rPr>
            </w:pPr>
            <w:r w:rsidRPr="00520C23">
              <w:rPr>
                <w:rFonts w:cstheme="minorHAnsi"/>
                <w:bCs/>
                <w:i/>
                <w:iCs/>
              </w:rPr>
              <w:t>(d) details regarding how any chemical or NORM has been or will be transported;</w:t>
            </w:r>
          </w:p>
          <w:p w14:paraId="78D3E649" w14:textId="51A3DB79" w:rsidR="00472715" w:rsidRPr="00520C23" w:rsidRDefault="00472715" w:rsidP="00472715">
            <w:pPr>
              <w:ind w:left="720"/>
              <w:rPr>
                <w:rFonts w:cstheme="minorHAnsi"/>
                <w:bCs/>
                <w:i/>
                <w:iCs/>
              </w:rPr>
            </w:pPr>
            <w:r w:rsidRPr="00520C23">
              <w:rPr>
                <w:rFonts w:cstheme="minorHAnsi"/>
                <w:bCs/>
                <w:i/>
                <w:iCs/>
              </w:rPr>
              <w:t>(e) details regarding how any chemical or NORM has been or will be treated;</w:t>
            </w:r>
          </w:p>
          <w:p w14:paraId="743671AE" w14:textId="1B3BB293" w:rsidR="00472715" w:rsidRPr="00520C23" w:rsidRDefault="00472715" w:rsidP="00472715">
            <w:pPr>
              <w:ind w:left="720"/>
              <w:rPr>
                <w:rFonts w:cstheme="minorHAnsi"/>
                <w:bCs/>
                <w:i/>
                <w:iCs/>
              </w:rPr>
            </w:pPr>
            <w:r w:rsidRPr="00520C23">
              <w:rPr>
                <w:rFonts w:cstheme="minorHAnsi"/>
                <w:bCs/>
                <w:i/>
                <w:iCs/>
              </w:rPr>
              <w:t>(f) details regarding any action proposed to be taken to prevent any chemical or NORM spill;</w:t>
            </w:r>
          </w:p>
          <w:p w14:paraId="67B42774" w14:textId="192BAEC3" w:rsidR="00472715" w:rsidRPr="00520C23" w:rsidRDefault="00472715" w:rsidP="00472715">
            <w:pPr>
              <w:ind w:left="720"/>
              <w:rPr>
                <w:rFonts w:cstheme="minorHAnsi"/>
                <w:bCs/>
                <w:i/>
                <w:iCs/>
              </w:rPr>
            </w:pPr>
            <w:r w:rsidRPr="00520C23">
              <w:rPr>
                <w:rFonts w:cstheme="minorHAnsi"/>
                <w:bCs/>
                <w:i/>
                <w:iCs/>
              </w:rPr>
              <w:t>(g) details of the emergency contingency plan included in the environment management plan to which the activity relates;</w:t>
            </w:r>
          </w:p>
          <w:p w14:paraId="055A881A" w14:textId="7678F997" w:rsidR="00472715" w:rsidRPr="00520C23" w:rsidRDefault="00472715" w:rsidP="00472715">
            <w:pPr>
              <w:ind w:left="720"/>
              <w:rPr>
                <w:rFonts w:cstheme="minorHAnsi"/>
                <w:bCs/>
                <w:i/>
                <w:iCs/>
              </w:rPr>
            </w:pPr>
            <w:r w:rsidRPr="00520C23">
              <w:rPr>
                <w:rFonts w:cstheme="minorHAnsi"/>
                <w:bCs/>
                <w:i/>
                <w:iCs/>
              </w:rPr>
              <w:t>(h) the requirements in relation to the management of any chemical or NORM of the prescribed chemical legislation.</w:t>
            </w:r>
          </w:p>
          <w:p w14:paraId="6CC21292" w14:textId="77777777" w:rsidR="00472715" w:rsidRPr="00520C23" w:rsidRDefault="00472715" w:rsidP="00472715">
            <w:pPr>
              <w:rPr>
                <w:rFonts w:cstheme="minorHAnsi"/>
                <w:bCs/>
                <w:i/>
                <w:iCs/>
              </w:rPr>
            </w:pPr>
            <w:r w:rsidRPr="00520C23">
              <w:rPr>
                <w:rFonts w:cstheme="minorHAnsi"/>
                <w:bCs/>
                <w:i/>
                <w:iCs/>
              </w:rPr>
              <w:t>…</w:t>
            </w:r>
          </w:p>
          <w:p w14:paraId="6831DA00" w14:textId="70DE1216" w:rsidR="00472715" w:rsidRPr="00520C23" w:rsidRDefault="00472715" w:rsidP="00472715">
            <w:pPr>
              <w:rPr>
                <w:rFonts w:cstheme="minorHAnsi"/>
                <w:bCs/>
                <w:i/>
                <w:iCs/>
              </w:rPr>
            </w:pPr>
            <w:r w:rsidRPr="00520C23">
              <w:rPr>
                <w:rFonts w:cstheme="minorHAnsi"/>
                <w:bCs/>
                <w:i/>
                <w:iCs/>
              </w:rPr>
              <w:t xml:space="preserve">(5) The Minister must publish the report on the Agency's website within 5 business days after receiving the report. </w:t>
            </w:r>
          </w:p>
          <w:p w14:paraId="1268BB26" w14:textId="77777777" w:rsidR="00472715" w:rsidRPr="00520C23" w:rsidRDefault="00472715" w:rsidP="00472715">
            <w:pPr>
              <w:rPr>
                <w:rFonts w:cstheme="minorHAnsi"/>
                <w:bCs/>
              </w:rPr>
            </w:pPr>
          </w:p>
          <w:p w14:paraId="00537C61" w14:textId="1FD9E4D9" w:rsidR="00472715" w:rsidRPr="00520C23" w:rsidRDefault="00472715" w:rsidP="00472715">
            <w:pPr>
              <w:rPr>
                <w:rFonts w:cstheme="minorHAnsi"/>
                <w:bCs/>
                <w:i/>
                <w:iCs/>
              </w:rPr>
            </w:pPr>
            <w:r w:rsidRPr="00520C23">
              <w:rPr>
                <w:rFonts w:cstheme="minorHAnsi"/>
                <w:bCs/>
              </w:rPr>
              <w:lastRenderedPageBreak/>
              <w:t>(</w:t>
            </w:r>
            <w:r w:rsidRPr="00520C23">
              <w:rPr>
                <w:rFonts w:cstheme="minorHAnsi"/>
                <w:bCs/>
                <w:i/>
                <w:iCs/>
              </w:rPr>
              <w:t>6) In this regulation:</w:t>
            </w:r>
          </w:p>
          <w:p w14:paraId="6DD331D4" w14:textId="77777777" w:rsidR="00472715" w:rsidRPr="00520C23" w:rsidRDefault="00472715" w:rsidP="00472715">
            <w:pPr>
              <w:rPr>
                <w:rFonts w:cstheme="minorHAnsi"/>
                <w:bCs/>
                <w:i/>
                <w:iCs/>
              </w:rPr>
            </w:pPr>
            <w:r w:rsidRPr="00520C23">
              <w:rPr>
                <w:rFonts w:cstheme="minorHAnsi"/>
                <w:bCs/>
              </w:rPr>
              <w:t>produced water</w:t>
            </w:r>
            <w:r w:rsidRPr="00520C23">
              <w:rPr>
                <w:rFonts w:cstheme="minorHAnsi"/>
                <w:bCs/>
                <w:i/>
                <w:iCs/>
              </w:rPr>
              <w:t xml:space="preserve"> means naturally occurring water that is extracted from the geological formation following hydraulic fracturing.</w:t>
            </w:r>
          </w:p>
          <w:p w14:paraId="3D356979" w14:textId="77777777" w:rsidR="00472715" w:rsidRPr="00520C23" w:rsidRDefault="00472715" w:rsidP="00472715">
            <w:pPr>
              <w:rPr>
                <w:rFonts w:cstheme="minorHAnsi"/>
                <w:bCs/>
              </w:rPr>
            </w:pPr>
          </w:p>
          <w:p w14:paraId="3F672A27" w14:textId="77777777" w:rsidR="00472715" w:rsidRPr="00520C23" w:rsidRDefault="00472715" w:rsidP="00472715">
            <w:pPr>
              <w:rPr>
                <w:rFonts w:cstheme="minorHAnsi"/>
                <w:bCs/>
              </w:rPr>
            </w:pPr>
          </w:p>
          <w:p w14:paraId="01145397" w14:textId="5A247A1E" w:rsidR="00472715" w:rsidRPr="00520C23" w:rsidRDefault="00472715" w:rsidP="00472715">
            <w:pPr>
              <w:rPr>
                <w:rFonts w:cstheme="minorHAnsi"/>
                <w:bCs/>
              </w:rPr>
            </w:pPr>
            <w:r w:rsidRPr="00520C23">
              <w:rPr>
                <w:rFonts w:cstheme="minorHAnsi"/>
                <w:bCs/>
                <w:iCs/>
              </w:rPr>
              <w:t>Note also</w:t>
            </w:r>
            <w:r w:rsidRPr="00520C23">
              <w:rPr>
                <w:rFonts w:cstheme="minorHAnsi"/>
                <w:bCs/>
                <w:i/>
              </w:rPr>
              <w:t xml:space="preserve"> </w:t>
            </w:r>
            <w:r w:rsidRPr="00520C23">
              <w:rPr>
                <w:rFonts w:cstheme="minorHAnsi"/>
                <w:bCs/>
              </w:rPr>
              <w:t xml:space="preserve">that the Code of Practice includes the following: </w:t>
            </w:r>
          </w:p>
          <w:p w14:paraId="3812E744" w14:textId="77777777" w:rsidR="00472715" w:rsidRPr="00520C23" w:rsidRDefault="00472715" w:rsidP="00472715">
            <w:pPr>
              <w:spacing w:before="120"/>
              <w:rPr>
                <w:rFonts w:cstheme="minorHAnsi"/>
                <w:u w:val="single"/>
              </w:rPr>
            </w:pPr>
            <w:r w:rsidRPr="00520C23">
              <w:rPr>
                <w:rFonts w:cstheme="minorHAnsi"/>
                <w:u w:val="single"/>
              </w:rPr>
              <w:t>C.7 Mandatory requirements for management plans for wastewater and spills</w:t>
            </w:r>
          </w:p>
          <w:p w14:paraId="483EE0DD" w14:textId="77777777" w:rsidR="00472715" w:rsidRPr="00520C23" w:rsidRDefault="00472715" w:rsidP="00472715">
            <w:pPr>
              <w:spacing w:before="120"/>
              <w:rPr>
                <w:rFonts w:cstheme="minorHAnsi"/>
                <w:u w:val="single"/>
              </w:rPr>
            </w:pPr>
            <w:r w:rsidRPr="00520C23">
              <w:rPr>
                <w:rFonts w:cstheme="minorHAnsi"/>
                <w:u w:val="single"/>
              </w:rPr>
              <w:t xml:space="preserve">C.7.2 Spill management plan </w:t>
            </w:r>
          </w:p>
          <w:p w14:paraId="1055CC31" w14:textId="588914B5" w:rsidR="00472715" w:rsidRPr="00520C23" w:rsidRDefault="00472715" w:rsidP="00472715">
            <w:pPr>
              <w:spacing w:before="120"/>
              <w:rPr>
                <w:rFonts w:cstheme="minorHAnsi"/>
                <w:i/>
                <w:iCs/>
              </w:rPr>
            </w:pPr>
            <w:r w:rsidRPr="00520C23">
              <w:rPr>
                <w:rFonts w:cstheme="minorHAnsi"/>
                <w:i/>
                <w:iCs/>
              </w:rPr>
              <w:t>(a) An EMP for a petroleum activity must include a Spill Management Plan (</w:t>
            </w:r>
            <w:r w:rsidRPr="00520C23">
              <w:rPr>
                <w:rFonts w:cstheme="minorHAnsi"/>
                <w:b/>
                <w:bCs/>
                <w:i/>
                <w:iCs/>
              </w:rPr>
              <w:t>SMP</w:t>
            </w:r>
            <w:r w:rsidRPr="00520C23">
              <w:rPr>
                <w:rFonts w:cstheme="minorHAnsi"/>
                <w:i/>
                <w:iCs/>
              </w:rPr>
              <w:t>). …</w:t>
            </w:r>
          </w:p>
          <w:p w14:paraId="4687275A" w14:textId="77777777" w:rsidR="00472715" w:rsidRPr="00520C23" w:rsidRDefault="00472715" w:rsidP="00472715">
            <w:pPr>
              <w:spacing w:before="120"/>
              <w:rPr>
                <w:rFonts w:cstheme="minorHAnsi"/>
                <w:i/>
                <w:iCs/>
              </w:rPr>
            </w:pPr>
            <w:r w:rsidRPr="00520C23">
              <w:rPr>
                <w:rFonts w:cstheme="minorHAnsi"/>
                <w:i/>
                <w:iCs/>
              </w:rPr>
              <w:t xml:space="preserve">(d) The SMP must contain the following: </w:t>
            </w:r>
          </w:p>
          <w:p w14:paraId="79456C33" w14:textId="50FA3F26" w:rsidR="00472715" w:rsidRPr="00520C23" w:rsidRDefault="00472715" w:rsidP="00472715">
            <w:pPr>
              <w:spacing w:before="120"/>
              <w:ind w:left="720"/>
              <w:rPr>
                <w:rFonts w:cstheme="minorHAnsi"/>
              </w:rPr>
            </w:pPr>
            <w:r w:rsidRPr="00520C23">
              <w:rPr>
                <w:rFonts w:cstheme="minorHAnsi"/>
                <w:i/>
                <w:iCs/>
              </w:rPr>
              <w:t xml:space="preserve">i. a description of the chemicals, water and wastewater and the way that they will be stored , transported and transferred as part of petroleum activity, this includes fluids which are mixed and/or pumped on site…. </w:t>
            </w:r>
          </w:p>
        </w:tc>
        <w:tc>
          <w:tcPr>
            <w:tcW w:w="5310" w:type="dxa"/>
            <w:shd w:val="clear" w:color="auto" w:fill="FFF2CC" w:themeFill="accent4" w:themeFillTint="33"/>
          </w:tcPr>
          <w:p w14:paraId="780E1627" w14:textId="01643776" w:rsidR="00472715" w:rsidRPr="00520C23" w:rsidRDefault="00472715" w:rsidP="00472715">
            <w:pPr>
              <w:spacing w:before="120"/>
              <w:rPr>
                <w:rFonts w:cstheme="minorHAnsi"/>
              </w:rPr>
            </w:pPr>
            <w:r w:rsidRPr="00520C23">
              <w:rPr>
                <w:rFonts w:cstheme="minorHAnsi"/>
              </w:rPr>
              <w:lastRenderedPageBreak/>
              <w:t>The Code and PER largely address recommendation 7.10, with some omissions, as below.</w:t>
            </w:r>
          </w:p>
          <w:p w14:paraId="11CCD390" w14:textId="6610F692" w:rsidR="00472715" w:rsidRPr="00520C23" w:rsidRDefault="00472715" w:rsidP="00472715">
            <w:pPr>
              <w:spacing w:before="120"/>
              <w:rPr>
                <w:rFonts w:cstheme="minorHAnsi"/>
                <w:i/>
                <w:iCs/>
                <w:u w:val="single"/>
              </w:rPr>
            </w:pPr>
            <w:r w:rsidRPr="00520C23">
              <w:rPr>
                <w:rFonts w:cstheme="minorHAnsi"/>
                <w:i/>
                <w:iCs/>
                <w:u w:val="single"/>
              </w:rPr>
              <w:t>Comments</w:t>
            </w:r>
          </w:p>
          <w:p w14:paraId="46005C94" w14:textId="0B559271" w:rsidR="00472715" w:rsidRPr="00520C23" w:rsidRDefault="00472715" w:rsidP="00472715">
            <w:pPr>
              <w:pStyle w:val="ListParagraph"/>
              <w:numPr>
                <w:ilvl w:val="0"/>
                <w:numId w:val="22"/>
              </w:numPr>
              <w:spacing w:before="120"/>
              <w:rPr>
                <w:rFonts w:cstheme="minorHAnsi"/>
              </w:rPr>
            </w:pPr>
            <w:r w:rsidRPr="00520C23">
              <w:rPr>
                <w:rFonts w:cstheme="minorHAnsi"/>
              </w:rPr>
              <w:t xml:space="preserve">Reporting on flowback fluid only within six months of the flowback </w:t>
            </w:r>
            <w:r w:rsidRPr="00520C23">
              <w:t>occurring</w:t>
            </w:r>
            <w:r w:rsidRPr="00520C23">
              <w:rPr>
                <w:rFonts w:cstheme="minorHAnsi"/>
              </w:rPr>
              <w:t xml:space="preserve"> seems to contravene the recommendation that the information be “</w:t>
            </w:r>
            <w:r w:rsidRPr="00520C23">
              <w:rPr>
                <w:rFonts w:cstheme="minorHAnsi"/>
                <w:i/>
                <w:iCs/>
              </w:rPr>
              <w:t>reported and publicly disclosed online as soon as it becomes available.”</w:t>
            </w:r>
          </w:p>
          <w:p w14:paraId="365CD896" w14:textId="3AD9BB0C" w:rsidR="00472715" w:rsidRPr="00520C23" w:rsidRDefault="00472715" w:rsidP="00472715">
            <w:pPr>
              <w:pStyle w:val="ListParagraph"/>
              <w:numPr>
                <w:ilvl w:val="0"/>
                <w:numId w:val="22"/>
              </w:numPr>
              <w:spacing w:before="120"/>
              <w:rPr>
                <w:rFonts w:cstheme="minorHAnsi"/>
              </w:rPr>
            </w:pPr>
            <w:r w:rsidRPr="00520C23">
              <w:rPr>
                <w:rFonts w:cstheme="minorHAnsi"/>
              </w:rPr>
              <w:t>In some cases of chemical reporting in the EMP, the chemical data sheets state the following: “</w:t>
            </w:r>
            <w:r w:rsidRPr="00520C23">
              <w:rPr>
                <w:rFonts w:cstheme="minorHAnsi"/>
                <w:i/>
                <w:iCs/>
              </w:rPr>
              <w:t>The product contains other ingredients which do not contribute to the overall classification. The specific chemical identity and/or exact percentage (concentration) of composition has been withheld as a trade secret.”</w:t>
            </w:r>
          </w:p>
          <w:p w14:paraId="071E1E7A" w14:textId="2CE9F990" w:rsidR="00472715" w:rsidRPr="00520C23" w:rsidRDefault="00A95366" w:rsidP="00472715">
            <w:pPr>
              <w:pStyle w:val="ListParagraph"/>
              <w:numPr>
                <w:ilvl w:val="0"/>
                <w:numId w:val="22"/>
              </w:numPr>
              <w:spacing w:before="120"/>
              <w:rPr>
                <w:rFonts w:cstheme="minorHAnsi"/>
              </w:rPr>
            </w:pPr>
            <w:r>
              <w:rPr>
                <w:rFonts w:cstheme="minorHAnsi"/>
              </w:rPr>
              <w:t>T</w:t>
            </w:r>
            <w:r w:rsidR="00472715" w:rsidRPr="00520C23">
              <w:rPr>
                <w:rFonts w:cstheme="minorHAnsi"/>
              </w:rPr>
              <w:t xml:space="preserve">he </w:t>
            </w:r>
            <w:hyperlink r:id="rId26" w:history="1">
              <w:r w:rsidR="00472715" w:rsidRPr="00520C23">
                <w:rPr>
                  <w:rStyle w:val="Hyperlink"/>
                  <w:rFonts w:cstheme="minorHAnsi"/>
                </w:rPr>
                <w:t>NT Government’s implementation progress website</w:t>
              </w:r>
            </w:hyperlink>
            <w:r w:rsidR="00472715" w:rsidRPr="00520C23">
              <w:rPr>
                <w:rFonts w:cstheme="minorHAnsi"/>
              </w:rPr>
              <w:t xml:space="preserve"> does not mention the second part of this </w:t>
            </w:r>
            <w:r w:rsidR="00472715" w:rsidRPr="00520C23">
              <w:rPr>
                <w:rFonts w:cstheme="minorHAnsi"/>
              </w:rPr>
              <w:lastRenderedPageBreak/>
              <w:t>recommendation focused on flowback and produced water.</w:t>
            </w:r>
          </w:p>
          <w:p w14:paraId="1BDADCFF" w14:textId="77777777" w:rsidR="00472715" w:rsidRPr="00520C23" w:rsidRDefault="00472715" w:rsidP="00472715">
            <w:pPr>
              <w:spacing w:before="120"/>
              <w:rPr>
                <w:rFonts w:cstheme="minorHAnsi"/>
              </w:rPr>
            </w:pPr>
          </w:p>
          <w:p w14:paraId="1ADB5807" w14:textId="423EBDDF" w:rsidR="00472715" w:rsidRPr="00520C23" w:rsidRDefault="00472715" w:rsidP="00472715">
            <w:pPr>
              <w:spacing w:before="120"/>
              <w:rPr>
                <w:rFonts w:cstheme="minorHAnsi"/>
              </w:rPr>
            </w:pPr>
          </w:p>
        </w:tc>
      </w:tr>
      <w:tr w:rsidR="00EA3C33" w:rsidRPr="00520C23" w14:paraId="57B2AC9E" w14:textId="1EEA6ACC" w:rsidTr="00EA3C33">
        <w:tc>
          <w:tcPr>
            <w:tcW w:w="846" w:type="dxa"/>
            <w:shd w:val="clear" w:color="auto" w:fill="auto"/>
          </w:tcPr>
          <w:p w14:paraId="5E4E828C" w14:textId="7F5AD911" w:rsidR="00472715" w:rsidRPr="00520C23" w:rsidRDefault="00472715" w:rsidP="00472715">
            <w:pPr>
              <w:spacing w:before="120"/>
              <w:jc w:val="center"/>
              <w:rPr>
                <w:rFonts w:cstheme="minorHAnsi"/>
              </w:rPr>
            </w:pPr>
            <w:r w:rsidRPr="00520C23">
              <w:rPr>
                <w:rFonts w:cstheme="minorHAnsi"/>
              </w:rPr>
              <w:lastRenderedPageBreak/>
              <w:t xml:space="preserve">7.11 </w:t>
            </w:r>
          </w:p>
        </w:tc>
        <w:tc>
          <w:tcPr>
            <w:tcW w:w="4819" w:type="dxa"/>
            <w:shd w:val="clear" w:color="auto" w:fill="auto"/>
          </w:tcPr>
          <w:p w14:paraId="69230C57" w14:textId="13FFF1C1"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in order to minimise the risk of groundwater contamination from leaky gas wells: </w:t>
            </w:r>
          </w:p>
          <w:p w14:paraId="009D6357" w14:textId="61078359" w:rsidR="00472715" w:rsidRPr="00520C23" w:rsidRDefault="00472715" w:rsidP="00472715">
            <w:pPr>
              <w:spacing w:before="120"/>
              <w:rPr>
                <w:rFonts w:cstheme="minorHAnsi"/>
                <w:i/>
                <w:iCs/>
              </w:rPr>
            </w:pPr>
            <w:r w:rsidRPr="00520C23">
              <w:rPr>
                <w:rFonts w:cstheme="minorHAnsi"/>
                <w:i/>
                <w:iCs/>
              </w:rPr>
              <w:t xml:space="preserve">• </w:t>
            </w:r>
            <w:r w:rsidRPr="00520C23">
              <w:rPr>
                <w:rFonts w:cstheme="minorHAnsi"/>
                <w:b/>
                <w:bCs/>
                <w:i/>
                <w:iCs/>
              </w:rPr>
              <w:t>all wells subject to hydraulic fracturing must be constructed to at least Category 9 (or equivalent)</w:t>
            </w:r>
            <w:r w:rsidRPr="00520C23">
              <w:rPr>
                <w:rFonts w:cstheme="minorHAnsi"/>
                <w:i/>
                <w:iCs/>
              </w:rPr>
              <w:t xml:space="preserve"> and </w:t>
            </w:r>
            <w:r w:rsidRPr="00520C23">
              <w:rPr>
                <w:rFonts w:cstheme="minorHAnsi"/>
                <w:b/>
                <w:bCs/>
                <w:i/>
                <w:iCs/>
              </w:rPr>
              <w:t>tested to ensure well integrity</w:t>
            </w:r>
            <w:r w:rsidRPr="00520C23">
              <w:rPr>
                <w:rFonts w:cstheme="minorHAnsi"/>
                <w:i/>
                <w:iCs/>
              </w:rPr>
              <w:t xml:space="preserve"> before and after hydraulic fracturing, with the integrity test results </w:t>
            </w:r>
            <w:r w:rsidRPr="00520C23">
              <w:rPr>
                <w:rFonts w:cstheme="minorHAnsi"/>
                <w:b/>
                <w:bCs/>
                <w:i/>
                <w:iCs/>
              </w:rPr>
              <w:t>certified by the regulator and publicly disclosed online</w:t>
            </w:r>
            <w:r w:rsidRPr="00520C23">
              <w:rPr>
                <w:rFonts w:cstheme="minorHAnsi"/>
                <w:i/>
                <w:iCs/>
              </w:rPr>
              <w:t xml:space="preserve">; </w:t>
            </w:r>
          </w:p>
          <w:p w14:paraId="30F8AC24" w14:textId="2BB27F19" w:rsidR="00472715" w:rsidRPr="00520C23" w:rsidRDefault="00472715" w:rsidP="00472715">
            <w:pPr>
              <w:spacing w:before="120"/>
              <w:rPr>
                <w:rFonts w:cstheme="minorHAnsi"/>
                <w:i/>
                <w:iCs/>
              </w:rPr>
            </w:pPr>
            <w:r w:rsidRPr="00520C23">
              <w:rPr>
                <w:rFonts w:cstheme="minorHAnsi"/>
                <w:i/>
                <w:iCs/>
              </w:rPr>
              <w:t xml:space="preserve">• a </w:t>
            </w:r>
            <w:r w:rsidRPr="00520C23">
              <w:rPr>
                <w:rFonts w:cstheme="minorHAnsi"/>
                <w:b/>
                <w:bCs/>
                <w:i/>
                <w:iCs/>
              </w:rPr>
              <w:t>minimum offset distance of at least 1 km between water supply bores and well pads must be adopted</w:t>
            </w:r>
            <w:r w:rsidRPr="00520C23">
              <w:rPr>
                <w:rFonts w:cstheme="minorHAnsi"/>
                <w:i/>
                <w:iCs/>
              </w:rPr>
              <w:t xml:space="preserve"> unless site-specific information of the kind described in Recommendation 7.8 is available to the contrary; </w:t>
            </w:r>
          </w:p>
          <w:p w14:paraId="4EF0A903" w14:textId="3D62AD69" w:rsidR="00472715" w:rsidRPr="00520C23" w:rsidRDefault="00472715" w:rsidP="00472715">
            <w:pPr>
              <w:spacing w:before="120"/>
              <w:rPr>
                <w:rFonts w:cstheme="minorHAnsi"/>
                <w:i/>
                <w:iCs/>
              </w:rPr>
            </w:pPr>
            <w:r w:rsidRPr="00520C23">
              <w:rPr>
                <w:rFonts w:cstheme="minorHAnsi"/>
                <w:i/>
                <w:iCs/>
              </w:rPr>
              <w:t xml:space="preserve">• where a well is hydraulically fractured, </w:t>
            </w:r>
            <w:r w:rsidRPr="00520C23">
              <w:rPr>
                <w:rFonts w:cstheme="minorHAnsi"/>
                <w:b/>
                <w:bCs/>
                <w:i/>
                <w:iCs/>
              </w:rPr>
              <w:t>monitoring of groundwater be undertaken around each well pad</w:t>
            </w:r>
            <w:r w:rsidRPr="00520C23">
              <w:rPr>
                <w:rFonts w:cstheme="minorHAnsi"/>
                <w:i/>
                <w:iCs/>
              </w:rPr>
              <w:t xml:space="preserve"> to detect any groundwater contamination using multilevel observation bores to ensure full coverage of the horizon, of any aquifer(s) containing water of sufficient quality to be of value for environmental or consumptive use; </w:t>
            </w:r>
          </w:p>
          <w:p w14:paraId="0190A575" w14:textId="4EC0AF6E" w:rsidR="00472715" w:rsidRPr="00520C23" w:rsidRDefault="00472715" w:rsidP="00472715">
            <w:pPr>
              <w:spacing w:before="120"/>
              <w:rPr>
                <w:rFonts w:cstheme="minorHAnsi"/>
                <w:i/>
                <w:iCs/>
              </w:rPr>
            </w:pPr>
            <w:r w:rsidRPr="00520C23">
              <w:rPr>
                <w:rFonts w:cstheme="minorHAnsi"/>
                <w:i/>
                <w:iCs/>
              </w:rPr>
              <w:t xml:space="preserve">• all existing well pads are to be equipped with </w:t>
            </w:r>
            <w:r w:rsidRPr="00520C23">
              <w:rPr>
                <w:rFonts w:cstheme="minorHAnsi"/>
                <w:b/>
                <w:bCs/>
                <w:i/>
                <w:iCs/>
              </w:rPr>
              <w:t>multilevel observation bores</w:t>
            </w:r>
            <w:r w:rsidRPr="00520C23">
              <w:rPr>
                <w:rFonts w:cstheme="minorHAnsi"/>
                <w:i/>
                <w:iCs/>
              </w:rPr>
              <w:t xml:space="preserve"> (as above); </w:t>
            </w:r>
          </w:p>
          <w:p w14:paraId="25282EB4" w14:textId="774F8DBF" w:rsidR="00472715" w:rsidRPr="00520C23" w:rsidRDefault="00472715" w:rsidP="00472715">
            <w:pPr>
              <w:spacing w:before="120"/>
              <w:rPr>
                <w:rFonts w:cstheme="minorHAnsi"/>
                <w:i/>
                <w:iCs/>
              </w:rPr>
            </w:pPr>
            <w:r w:rsidRPr="00520C23">
              <w:rPr>
                <w:rFonts w:cstheme="minorHAnsi"/>
                <w:i/>
                <w:iCs/>
              </w:rPr>
              <w:t xml:space="preserve">• as a minimum, </w:t>
            </w:r>
            <w:r w:rsidRPr="00520C23">
              <w:rPr>
                <w:rFonts w:cstheme="minorHAnsi"/>
                <w:b/>
                <w:bCs/>
                <w:i/>
                <w:iCs/>
              </w:rPr>
              <w:t>electrical conductivity data from each level of the monitor bore array should be measured and results electronically transmitted from the well pad site to the regulator as soon as they are available</w:t>
            </w:r>
            <w:r w:rsidRPr="00520C23">
              <w:rPr>
                <w:rFonts w:cstheme="minorHAnsi"/>
                <w:i/>
                <w:iCs/>
              </w:rPr>
              <w:t xml:space="preserve">. The utility of continuous monitoring for other parameters should be </w:t>
            </w:r>
            <w:r w:rsidRPr="00520C23">
              <w:rPr>
                <w:rFonts w:cstheme="minorHAnsi"/>
                <w:i/>
                <w:iCs/>
              </w:rPr>
              <w:lastRenderedPageBreak/>
              <w:t xml:space="preserve">reviewed every five years or as soon as advances in monitoring technology become commercially available; and </w:t>
            </w:r>
          </w:p>
          <w:p w14:paraId="6D6F08D4" w14:textId="3E999693" w:rsidR="00472715" w:rsidRPr="00520C23" w:rsidRDefault="00472715" w:rsidP="00472715">
            <w:pPr>
              <w:spacing w:before="120"/>
              <w:rPr>
                <w:rFonts w:cstheme="minorHAnsi"/>
                <w:i/>
                <w:iCs/>
              </w:rPr>
            </w:pPr>
            <w:r w:rsidRPr="00520C23">
              <w:rPr>
                <w:rFonts w:cstheme="minorHAnsi"/>
                <w:i/>
                <w:iCs/>
              </w:rPr>
              <w:t xml:space="preserve">• other water quality indicators, as determined by the regulator, should be </w:t>
            </w:r>
            <w:r w:rsidRPr="00520C23">
              <w:rPr>
                <w:rFonts w:cstheme="minorHAnsi"/>
                <w:b/>
                <w:bCs/>
                <w:i/>
                <w:iCs/>
              </w:rPr>
              <w:t>measured quarterly, with the results publicly disclosed online as soon as reasonably practical from the date of sampling</w:t>
            </w:r>
            <w:r w:rsidRPr="00520C23">
              <w:rPr>
                <w:rFonts w:cstheme="minorHAnsi"/>
                <w:i/>
                <w:iCs/>
              </w:rPr>
              <w:t xml:space="preserve">. This monitoring regime should continue </w:t>
            </w:r>
            <w:r w:rsidRPr="00520C23">
              <w:rPr>
                <w:rFonts w:cstheme="minorHAnsi"/>
                <w:b/>
                <w:bCs/>
                <w:i/>
                <w:iCs/>
              </w:rPr>
              <w:t>for three years</w:t>
            </w:r>
            <w:r w:rsidRPr="00520C23">
              <w:rPr>
                <w:rFonts w:cstheme="minorHAnsi"/>
                <w:i/>
                <w:iCs/>
              </w:rPr>
              <w:t xml:space="preserve"> and be reviewed for suitability by the regulator. </w:t>
            </w:r>
          </w:p>
        </w:tc>
        <w:tc>
          <w:tcPr>
            <w:tcW w:w="5760" w:type="dxa"/>
            <w:shd w:val="clear" w:color="auto" w:fill="auto"/>
          </w:tcPr>
          <w:p w14:paraId="502536B5" w14:textId="05CA0D54" w:rsidR="00472715" w:rsidRPr="00520C23" w:rsidRDefault="00472715" w:rsidP="00472715">
            <w:pPr>
              <w:spacing w:before="120"/>
            </w:pPr>
            <w:r w:rsidRPr="00520C23">
              <w:rPr>
                <w:rFonts w:ascii="Calibri" w:eastAsia="Calibri" w:hAnsi="Calibri" w:cs="Calibri"/>
                <w:color w:val="313131"/>
              </w:rPr>
              <w:lastRenderedPageBreak/>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27">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w:t>
            </w:r>
          </w:p>
          <w:p w14:paraId="4ACDFAA5" w14:textId="150C1A8B" w:rsidR="00472715" w:rsidRPr="00520C23" w:rsidRDefault="00472715" w:rsidP="00472715">
            <w:pPr>
              <w:spacing w:before="120"/>
              <w:rPr>
                <w:rFonts w:ascii="Calibri" w:eastAsia="Calibri" w:hAnsi="Calibri" w:cs="Calibri"/>
                <w:color w:val="313131"/>
              </w:rPr>
            </w:pPr>
          </w:p>
          <w:p w14:paraId="4682420C" w14:textId="2A42B5A6" w:rsidR="00472715" w:rsidRPr="00520C23" w:rsidRDefault="00472715" w:rsidP="00472715">
            <w:pPr>
              <w:spacing w:before="120"/>
            </w:pPr>
            <w:r w:rsidRPr="00520C23">
              <w:rPr>
                <w:rFonts w:ascii="Calibri" w:eastAsia="Calibri" w:hAnsi="Calibri" w:cs="Calibri"/>
                <w:color w:val="313131"/>
              </w:rPr>
              <w:t xml:space="preserve">The Code requires proponents to comply with the Preliminary Guideline for Groundwater monitoring bores for Exploration Petroleum Wells in the Beetaloo Sub-Basin which was finalised and distributed on 29 November 2018. The guideline has been uploaded to the </w:t>
            </w:r>
            <w:hyperlink r:id="rId28">
              <w:r w:rsidRPr="00520C23">
                <w:rPr>
                  <w:rStyle w:val="Hyperlink"/>
                  <w:rFonts w:ascii="Calibri" w:eastAsia="Calibri" w:hAnsi="Calibri" w:cs="Calibri"/>
                </w:rPr>
                <w:t>DEPWS website</w:t>
              </w:r>
            </w:hyperlink>
            <w:r w:rsidRPr="00520C23">
              <w:rPr>
                <w:rFonts w:ascii="Calibri" w:eastAsia="Calibri" w:hAnsi="Calibri" w:cs="Calibri"/>
                <w:color w:val="313131"/>
              </w:rPr>
              <w:t>.</w:t>
            </w:r>
          </w:p>
          <w:p w14:paraId="25BF5EE8" w14:textId="0E874E37" w:rsidR="00472715" w:rsidRPr="00520C23" w:rsidRDefault="00472715" w:rsidP="00472715">
            <w:pPr>
              <w:spacing w:before="120"/>
              <w:rPr>
                <w:rFonts w:ascii="Calibri" w:eastAsia="Calibri" w:hAnsi="Calibri" w:cs="Calibri"/>
                <w:color w:val="313131"/>
              </w:rPr>
            </w:pPr>
          </w:p>
          <w:p w14:paraId="2D7FC059" w14:textId="37065D52" w:rsidR="00472715" w:rsidRPr="00520C23" w:rsidRDefault="00472715" w:rsidP="00472715">
            <w:pPr>
              <w:spacing w:before="120"/>
            </w:pPr>
            <w:r w:rsidRPr="00520C23">
              <w:rPr>
                <w:rFonts w:ascii="Calibri" w:eastAsia="Calibri" w:hAnsi="Calibri" w:cs="Calibri"/>
                <w:color w:val="313131"/>
              </w:rPr>
              <w:t>Monitoring has commenced in Beetaloo Sub-basin to enable the 6 month baseline monitoring requirement to be achieved</w:t>
            </w:r>
            <w:r w:rsidR="00F54F01">
              <w:rPr>
                <w:rFonts w:ascii="Calibri" w:eastAsia="Calibri" w:hAnsi="Calibri" w:cs="Calibri"/>
                <w:color w:val="313131"/>
              </w:rPr>
              <w:t>.</w:t>
            </w:r>
          </w:p>
          <w:p w14:paraId="0B0B90AB" w14:textId="5F1DA8A8" w:rsidR="00472715" w:rsidRPr="00520C23" w:rsidRDefault="00472715" w:rsidP="00472715">
            <w:pPr>
              <w:spacing w:before="120"/>
              <w:rPr>
                <w:b/>
                <w:bCs/>
              </w:rPr>
            </w:pPr>
          </w:p>
        </w:tc>
        <w:tc>
          <w:tcPr>
            <w:tcW w:w="5670" w:type="dxa"/>
            <w:shd w:val="clear" w:color="auto" w:fill="auto"/>
          </w:tcPr>
          <w:p w14:paraId="0C39DB6A" w14:textId="3060C252" w:rsidR="00472715" w:rsidRPr="00520C23" w:rsidRDefault="00472715" w:rsidP="00472715">
            <w:pPr>
              <w:spacing w:before="120"/>
              <w:rPr>
                <w:rFonts w:cstheme="minorHAnsi"/>
                <w:b/>
              </w:rPr>
            </w:pPr>
            <w:r w:rsidRPr="00520C23">
              <w:rPr>
                <w:rFonts w:cstheme="minorHAnsi"/>
                <w:b/>
              </w:rPr>
              <w:t>Code of Practice</w:t>
            </w:r>
          </w:p>
          <w:p w14:paraId="013827CE" w14:textId="35F181E4" w:rsidR="00472715" w:rsidRPr="00520C23" w:rsidRDefault="00472715" w:rsidP="00472715">
            <w:pPr>
              <w:spacing w:before="120"/>
              <w:rPr>
                <w:rFonts w:cstheme="minorHAnsi"/>
                <w:u w:val="single"/>
              </w:rPr>
            </w:pPr>
            <w:r w:rsidRPr="00520C23">
              <w:rPr>
                <w:rFonts w:cstheme="minorHAnsi"/>
                <w:u w:val="single"/>
              </w:rPr>
              <w:t>A.3.2 Well pad site selection requirements</w:t>
            </w:r>
          </w:p>
          <w:p w14:paraId="625BB478" w14:textId="016BA50B" w:rsidR="00472715" w:rsidRPr="00520C23" w:rsidRDefault="00472715" w:rsidP="00472715">
            <w:pPr>
              <w:spacing w:before="120"/>
              <w:rPr>
                <w:rFonts w:cstheme="minorHAnsi"/>
                <w:u w:val="single"/>
              </w:rPr>
            </w:pPr>
            <w:r w:rsidRPr="00520C23">
              <w:rPr>
                <w:rFonts w:cstheme="minorHAnsi"/>
                <w:u w:val="single"/>
              </w:rPr>
              <w:t>A.3.2.2 Mandatory requirement</w:t>
            </w:r>
          </w:p>
          <w:p w14:paraId="732746FE" w14:textId="6D0A6210" w:rsidR="00472715" w:rsidRPr="00520C23" w:rsidRDefault="00472715" w:rsidP="00472715">
            <w:pPr>
              <w:spacing w:before="120"/>
              <w:rPr>
                <w:rFonts w:cstheme="minorHAnsi"/>
                <w:i/>
                <w:iCs/>
              </w:rPr>
            </w:pPr>
            <w:r w:rsidRPr="00520C23">
              <w:rPr>
                <w:rFonts w:cstheme="minorHAnsi"/>
                <w:i/>
                <w:iCs/>
              </w:rPr>
              <w:t xml:space="preserve">(d) There must be a minimum distance of at least 1km between an existing water supply </w:t>
            </w:r>
            <w:r w:rsidRPr="00520C23">
              <w:rPr>
                <w:rFonts w:cstheme="minorHAnsi"/>
                <w:b/>
                <w:bCs/>
                <w:i/>
                <w:iCs/>
              </w:rPr>
              <w:t xml:space="preserve">bore </w:t>
            </w:r>
            <w:r w:rsidRPr="00520C23">
              <w:rPr>
                <w:rFonts w:cstheme="minorHAnsi"/>
                <w:i/>
                <w:iCs/>
              </w:rPr>
              <w:t xml:space="preserve">used for domestic or stock consumption and a well pad unless: </w:t>
            </w:r>
          </w:p>
          <w:p w14:paraId="44DB7D0D" w14:textId="77777777" w:rsidR="00472715" w:rsidRPr="00520C23" w:rsidRDefault="00472715" w:rsidP="00472715">
            <w:pPr>
              <w:spacing w:before="120"/>
              <w:ind w:left="720"/>
              <w:rPr>
                <w:rFonts w:cstheme="minorHAnsi"/>
                <w:i/>
                <w:iCs/>
              </w:rPr>
            </w:pPr>
            <w:r w:rsidRPr="00520C23">
              <w:rPr>
                <w:rFonts w:cstheme="minorHAnsi"/>
                <w:i/>
                <w:iCs/>
              </w:rPr>
              <w:t xml:space="preserve">i. the owner of the water supply bore consents in writing to the location of the well pad; or </w:t>
            </w:r>
          </w:p>
          <w:p w14:paraId="6D7C3DCF" w14:textId="1CC0CD40" w:rsidR="00472715" w:rsidRPr="00520C23" w:rsidRDefault="00472715" w:rsidP="00472715">
            <w:pPr>
              <w:spacing w:before="120"/>
              <w:rPr>
                <w:rFonts w:cstheme="minorHAnsi"/>
                <w:i/>
                <w:iCs/>
                <w:u w:val="single"/>
              </w:rPr>
            </w:pPr>
            <w:r w:rsidRPr="00520C23">
              <w:rPr>
                <w:rFonts w:cstheme="minorHAnsi"/>
                <w:i/>
                <w:iCs/>
              </w:rPr>
              <w:t>i. hydrogeological investigations and ground water modelling indicate that a different distance is appropriate.</w:t>
            </w:r>
          </w:p>
          <w:p w14:paraId="00BA50AE" w14:textId="34E9C937" w:rsidR="00472715" w:rsidRPr="00520C23" w:rsidRDefault="00472715" w:rsidP="00472715">
            <w:pPr>
              <w:spacing w:before="120"/>
              <w:rPr>
                <w:rFonts w:cstheme="minorHAnsi"/>
                <w:u w:val="single"/>
              </w:rPr>
            </w:pPr>
            <w:r w:rsidRPr="00520C23">
              <w:rPr>
                <w:rFonts w:cstheme="minorHAnsi"/>
                <w:u w:val="single"/>
              </w:rPr>
              <w:t>B.4.1 Well integrity management</w:t>
            </w:r>
          </w:p>
          <w:p w14:paraId="08FE0521" w14:textId="61171A8B" w:rsidR="00472715" w:rsidRPr="00520C23" w:rsidRDefault="00472715" w:rsidP="00472715">
            <w:pPr>
              <w:spacing w:before="120"/>
              <w:rPr>
                <w:rFonts w:cstheme="minorHAnsi"/>
                <w:u w:val="single"/>
              </w:rPr>
            </w:pPr>
            <w:r w:rsidRPr="00520C23">
              <w:rPr>
                <w:rFonts w:cstheme="minorHAnsi"/>
                <w:u w:val="single"/>
              </w:rPr>
              <w:t>B.4.1.2 Mandatory requirements</w:t>
            </w:r>
          </w:p>
          <w:p w14:paraId="07000660" w14:textId="041E6B09" w:rsidR="00472715" w:rsidRPr="00520C23" w:rsidRDefault="00472715" w:rsidP="00472715">
            <w:pPr>
              <w:spacing w:before="120"/>
              <w:rPr>
                <w:rFonts w:cstheme="minorHAnsi"/>
                <w:i/>
                <w:iCs/>
              </w:rPr>
            </w:pPr>
            <w:r w:rsidRPr="00520C23">
              <w:rPr>
                <w:rFonts w:cstheme="minorHAnsi"/>
                <w:i/>
                <w:iCs/>
              </w:rPr>
              <w:t xml:space="preserve">(c) A well integrity testing and validation program must be established for all wells, that includes: </w:t>
            </w:r>
          </w:p>
          <w:p w14:paraId="27014BCF" w14:textId="77777777" w:rsidR="00472715" w:rsidRPr="00520C23" w:rsidRDefault="00472715" w:rsidP="00472715">
            <w:pPr>
              <w:ind w:left="702"/>
              <w:rPr>
                <w:rFonts w:cstheme="minorHAnsi"/>
                <w:i/>
                <w:iCs/>
              </w:rPr>
            </w:pPr>
            <w:r w:rsidRPr="00520C23">
              <w:rPr>
                <w:rFonts w:cstheme="minorHAnsi"/>
                <w:i/>
                <w:iCs/>
              </w:rPr>
              <w:t xml:space="preserve">i. subsurface integrity testing (SIT); </w:t>
            </w:r>
          </w:p>
          <w:p w14:paraId="77C6057F" w14:textId="77777777" w:rsidR="00472715" w:rsidRPr="00520C23" w:rsidRDefault="00472715" w:rsidP="00472715">
            <w:pPr>
              <w:ind w:left="702"/>
              <w:rPr>
                <w:rFonts w:cstheme="minorHAnsi"/>
                <w:i/>
                <w:iCs/>
              </w:rPr>
            </w:pPr>
            <w:r w:rsidRPr="00520C23">
              <w:rPr>
                <w:rFonts w:cstheme="minorHAnsi"/>
                <w:i/>
                <w:iCs/>
              </w:rPr>
              <w:t xml:space="preserve">ii. well integrity and well barrier validation requirements in accordance with this Code; </w:t>
            </w:r>
          </w:p>
          <w:p w14:paraId="02CDD1AA" w14:textId="77777777" w:rsidR="00472715" w:rsidRPr="00520C23" w:rsidRDefault="00472715" w:rsidP="00472715">
            <w:pPr>
              <w:ind w:left="702"/>
              <w:rPr>
                <w:rFonts w:cstheme="minorHAnsi"/>
                <w:i/>
                <w:iCs/>
              </w:rPr>
            </w:pPr>
            <w:r w:rsidRPr="00520C23">
              <w:rPr>
                <w:rFonts w:cstheme="minorHAnsi"/>
                <w:i/>
                <w:iCs/>
              </w:rPr>
              <w:t xml:space="preserve">iii. a minimum testing frequency for wells in the operational phase of their lifecycle that is commensurate with well’s well integrity risks as per the accepted WOMP; and </w:t>
            </w:r>
          </w:p>
          <w:p w14:paraId="2CF10DA6" w14:textId="77777777" w:rsidR="00472715" w:rsidRPr="00520C23" w:rsidRDefault="00472715" w:rsidP="00472715">
            <w:pPr>
              <w:ind w:left="702"/>
              <w:rPr>
                <w:rFonts w:cstheme="minorHAnsi"/>
                <w:i/>
                <w:iCs/>
              </w:rPr>
            </w:pPr>
            <w:r w:rsidRPr="00520C23">
              <w:rPr>
                <w:rFonts w:cstheme="minorHAnsi"/>
                <w:i/>
                <w:iCs/>
              </w:rPr>
              <w:t xml:space="preserve">iv. triggers for well integrity testing based on: </w:t>
            </w:r>
          </w:p>
          <w:p w14:paraId="36A55733" w14:textId="77777777" w:rsidR="00472715" w:rsidRPr="00520C23" w:rsidRDefault="00472715" w:rsidP="00472715">
            <w:pPr>
              <w:ind w:left="1062"/>
              <w:rPr>
                <w:rFonts w:cstheme="minorHAnsi"/>
                <w:i/>
                <w:iCs/>
              </w:rPr>
            </w:pPr>
            <w:r w:rsidRPr="00520C23">
              <w:rPr>
                <w:rFonts w:cstheme="minorHAnsi"/>
                <w:i/>
                <w:iCs/>
              </w:rPr>
              <w:t xml:space="preserve">a. well integrity monitoring; and </w:t>
            </w:r>
          </w:p>
          <w:p w14:paraId="000F0B5C" w14:textId="77777777" w:rsidR="00472715" w:rsidRPr="00520C23" w:rsidRDefault="00472715" w:rsidP="00472715">
            <w:pPr>
              <w:ind w:left="1062"/>
              <w:rPr>
                <w:rFonts w:cstheme="minorHAnsi"/>
                <w:i/>
                <w:iCs/>
              </w:rPr>
            </w:pPr>
            <w:r w:rsidRPr="00520C23">
              <w:rPr>
                <w:rFonts w:cstheme="minorHAnsi"/>
                <w:i/>
                <w:iCs/>
              </w:rPr>
              <w:t>b. substantive changes to well barriers or well operating envelope.</w:t>
            </w:r>
          </w:p>
          <w:p w14:paraId="296958E3" w14:textId="77777777" w:rsidR="00472715" w:rsidRPr="00520C23" w:rsidRDefault="00472715" w:rsidP="00472715">
            <w:pPr>
              <w:spacing w:before="120"/>
              <w:rPr>
                <w:rFonts w:cstheme="minorHAnsi"/>
                <w:u w:val="single"/>
              </w:rPr>
            </w:pPr>
          </w:p>
          <w:p w14:paraId="74286B2E" w14:textId="5AD92743" w:rsidR="00472715" w:rsidRPr="00520C23" w:rsidRDefault="00472715" w:rsidP="00472715">
            <w:pPr>
              <w:spacing w:before="120"/>
              <w:rPr>
                <w:rFonts w:cstheme="minorHAnsi"/>
                <w:u w:val="single"/>
              </w:rPr>
            </w:pPr>
            <w:r w:rsidRPr="00520C23">
              <w:rPr>
                <w:rFonts w:cstheme="minorHAnsi"/>
                <w:u w:val="single"/>
              </w:rPr>
              <w:t>B.4.3. Well design and well barriers</w:t>
            </w:r>
          </w:p>
          <w:p w14:paraId="4DA4A9D6" w14:textId="1E054178" w:rsidR="00472715" w:rsidRPr="00520C23" w:rsidRDefault="00472715" w:rsidP="00472715">
            <w:pPr>
              <w:spacing w:before="120"/>
              <w:rPr>
                <w:rFonts w:cstheme="minorHAnsi"/>
                <w:u w:val="single"/>
              </w:rPr>
            </w:pPr>
            <w:r w:rsidRPr="00520C23">
              <w:rPr>
                <w:rFonts w:cstheme="minorHAnsi"/>
                <w:u w:val="single"/>
              </w:rPr>
              <w:lastRenderedPageBreak/>
              <w:t>B.4.3.2. Mandatory requirements</w:t>
            </w:r>
          </w:p>
          <w:p w14:paraId="0892C701" w14:textId="77777777" w:rsidR="00472715" w:rsidRPr="00520C23" w:rsidRDefault="00472715" w:rsidP="00472715">
            <w:pPr>
              <w:spacing w:before="120"/>
              <w:rPr>
                <w:rFonts w:cstheme="minorHAnsi"/>
                <w:i/>
                <w:iCs/>
              </w:rPr>
            </w:pPr>
            <w:r w:rsidRPr="00520C23">
              <w:rPr>
                <w:rFonts w:cstheme="minorHAnsi"/>
                <w:i/>
                <w:iCs/>
              </w:rPr>
              <w:t>Wells must be designed such that:</w:t>
            </w:r>
          </w:p>
          <w:p w14:paraId="411466C3" w14:textId="36311D1A" w:rsidR="00472715" w:rsidRPr="00520C23" w:rsidRDefault="00472715" w:rsidP="00472715">
            <w:pPr>
              <w:spacing w:before="120"/>
              <w:rPr>
                <w:rFonts w:cstheme="minorHAnsi"/>
                <w:i/>
                <w:iCs/>
              </w:rPr>
            </w:pPr>
            <w:r w:rsidRPr="00520C23">
              <w:rPr>
                <w:rFonts w:cstheme="minorHAnsi"/>
                <w:i/>
                <w:iCs/>
              </w:rPr>
              <w:t xml:space="preserve">… (b) unless paragraph (c) applies, they are constructed, maintained and decommissioned in such a manner that it can be demonstrated there are at least two verified well barriers between: </w:t>
            </w:r>
          </w:p>
          <w:p w14:paraId="46B70F85" w14:textId="77777777" w:rsidR="00472715" w:rsidRPr="00520C23" w:rsidRDefault="00472715" w:rsidP="00472715">
            <w:pPr>
              <w:spacing w:before="120"/>
              <w:ind w:left="720"/>
              <w:rPr>
                <w:rFonts w:cstheme="minorHAnsi"/>
                <w:i/>
                <w:iCs/>
              </w:rPr>
            </w:pPr>
            <w:r w:rsidRPr="00520C23">
              <w:rPr>
                <w:rFonts w:cstheme="minorHAnsi"/>
                <w:i/>
                <w:iCs/>
              </w:rPr>
              <w:t xml:space="preserve">i. a hydrocarbon bearing zone and aquifers and the surface; and </w:t>
            </w:r>
          </w:p>
          <w:p w14:paraId="77DB427F" w14:textId="77777777" w:rsidR="00472715" w:rsidRPr="00520C23" w:rsidRDefault="00472715" w:rsidP="00472715">
            <w:pPr>
              <w:spacing w:before="120"/>
              <w:ind w:left="720"/>
              <w:rPr>
                <w:rFonts w:cstheme="minorHAnsi"/>
                <w:i/>
                <w:iCs/>
              </w:rPr>
            </w:pPr>
            <w:r w:rsidRPr="00520C23">
              <w:rPr>
                <w:rFonts w:cstheme="minorHAnsi"/>
                <w:i/>
                <w:iCs/>
              </w:rPr>
              <w:t xml:space="preserve">ii. deep, saline water bearing formations and aquifers/the surface. </w:t>
            </w:r>
          </w:p>
          <w:p w14:paraId="3192F288" w14:textId="6A609E30" w:rsidR="00472715" w:rsidRPr="00520C23" w:rsidRDefault="00472715" w:rsidP="00472715">
            <w:pPr>
              <w:spacing w:before="120"/>
              <w:rPr>
                <w:rFonts w:cstheme="minorHAnsi"/>
                <w:i/>
                <w:iCs/>
              </w:rPr>
            </w:pPr>
            <w:r w:rsidRPr="00520C23">
              <w:rPr>
                <w:rFonts w:cstheme="minorHAnsi"/>
                <w:i/>
                <w:iCs/>
              </w:rPr>
              <w:t xml:space="preserve">(c) where one or more of the following circumstances applies, less than two verified barriers may be provided: </w:t>
            </w:r>
          </w:p>
          <w:p w14:paraId="2B5A963D" w14:textId="77777777" w:rsidR="00472715" w:rsidRPr="00520C23" w:rsidRDefault="00472715" w:rsidP="00472715">
            <w:pPr>
              <w:spacing w:before="120"/>
              <w:ind w:left="720"/>
              <w:rPr>
                <w:rFonts w:cstheme="minorHAnsi"/>
                <w:i/>
                <w:iCs/>
              </w:rPr>
            </w:pPr>
            <w:r w:rsidRPr="00520C23">
              <w:rPr>
                <w:rFonts w:cstheme="minorHAnsi"/>
                <w:i/>
                <w:iCs/>
              </w:rPr>
              <w:t xml:space="preserve">i. during top hole or surface hole drilling where shallow hydrocarbon or water flow risk has been assessed as being negligible; </w:t>
            </w:r>
          </w:p>
          <w:p w14:paraId="064C0F56" w14:textId="77777777" w:rsidR="00472715" w:rsidRPr="00520C23" w:rsidRDefault="00472715" w:rsidP="00472715">
            <w:pPr>
              <w:spacing w:before="120"/>
              <w:ind w:left="720"/>
              <w:rPr>
                <w:rFonts w:cstheme="minorHAnsi"/>
                <w:i/>
                <w:iCs/>
              </w:rPr>
            </w:pPr>
            <w:r w:rsidRPr="00520C23">
              <w:rPr>
                <w:rFonts w:cstheme="minorHAnsi"/>
                <w:i/>
                <w:iCs/>
              </w:rPr>
              <w:t xml:space="preserve">ii. during diverter drilling; </w:t>
            </w:r>
          </w:p>
          <w:p w14:paraId="0AE159BE" w14:textId="77777777" w:rsidR="00472715" w:rsidRPr="00520C23" w:rsidRDefault="00472715" w:rsidP="00472715">
            <w:pPr>
              <w:spacing w:before="120"/>
              <w:ind w:left="720"/>
              <w:rPr>
                <w:rFonts w:cstheme="minorHAnsi"/>
                <w:i/>
                <w:iCs/>
              </w:rPr>
            </w:pPr>
            <w:r w:rsidRPr="00520C23">
              <w:rPr>
                <w:rFonts w:cstheme="minorHAnsi"/>
                <w:i/>
                <w:iCs/>
              </w:rPr>
              <w:t xml:space="preserve">iii. during well decommissioning when two formations need to be isolated from one another and two barriers are not feasible, and a continuous cement plug extending minimum 50m above to 50m below the interface is placed instead; or </w:t>
            </w:r>
          </w:p>
          <w:p w14:paraId="6D6F1090" w14:textId="2EF512DC" w:rsidR="00472715" w:rsidRPr="00520C23" w:rsidRDefault="00472715" w:rsidP="00472715">
            <w:pPr>
              <w:spacing w:before="120"/>
              <w:ind w:left="720"/>
              <w:rPr>
                <w:rFonts w:cstheme="minorHAnsi"/>
                <w:i/>
                <w:iCs/>
              </w:rPr>
            </w:pPr>
            <w:r w:rsidRPr="00520C23">
              <w:rPr>
                <w:rFonts w:cstheme="minorHAnsi"/>
                <w:i/>
                <w:iCs/>
              </w:rPr>
              <w:t xml:space="preserve">iv. in other circumstances during well life cycle activities when a risk assessment demonstrates that the same level of risk can be achieved as if two verified barriers were in place. </w:t>
            </w:r>
          </w:p>
          <w:p w14:paraId="22212B51" w14:textId="36AEE85F" w:rsidR="00472715" w:rsidRPr="00520C23" w:rsidRDefault="00472715" w:rsidP="00472715">
            <w:pPr>
              <w:spacing w:before="120"/>
              <w:rPr>
                <w:rFonts w:cstheme="minorHAnsi"/>
                <w:u w:val="single"/>
              </w:rPr>
            </w:pPr>
            <w:r w:rsidRPr="00520C23">
              <w:rPr>
                <w:rFonts w:cstheme="minorHAnsi"/>
                <w:u w:val="single"/>
              </w:rPr>
              <w:t xml:space="preserve">B.4.17 Groundwater monitoring </w:t>
            </w:r>
          </w:p>
          <w:p w14:paraId="6E546FBE" w14:textId="7B35D522" w:rsidR="00472715" w:rsidRPr="00520C23" w:rsidRDefault="00472715" w:rsidP="00472715">
            <w:pPr>
              <w:spacing w:before="120"/>
              <w:rPr>
                <w:rFonts w:cstheme="minorHAnsi"/>
                <w:u w:val="single"/>
              </w:rPr>
            </w:pPr>
            <w:r w:rsidRPr="00520C23">
              <w:rPr>
                <w:rFonts w:cstheme="minorHAnsi"/>
                <w:u w:val="single"/>
              </w:rPr>
              <w:t xml:space="preserve">B.4.17.2 Mandatory requirements </w:t>
            </w:r>
          </w:p>
          <w:p w14:paraId="01B4F544" w14:textId="6A1AF13C" w:rsidR="00472715" w:rsidRPr="00520C23" w:rsidRDefault="00472715" w:rsidP="00472715">
            <w:pPr>
              <w:spacing w:before="120"/>
              <w:rPr>
                <w:rFonts w:cstheme="minorHAnsi"/>
              </w:rPr>
            </w:pPr>
            <w:r w:rsidRPr="00520C23">
              <w:rPr>
                <w:rFonts w:cstheme="minorHAnsi"/>
              </w:rPr>
              <w:t xml:space="preserve">... </w:t>
            </w:r>
            <w:r w:rsidRPr="00520C23">
              <w:rPr>
                <w:rFonts w:cstheme="minorHAnsi"/>
                <w:i/>
                <w:iCs/>
              </w:rPr>
              <w:t>(b) Where there is an intention to hydraulically fracture the well(s) at a well site…</w:t>
            </w:r>
          </w:p>
          <w:p w14:paraId="588B4A8A" w14:textId="2D308220" w:rsidR="00472715" w:rsidRPr="00520C23" w:rsidRDefault="00472715" w:rsidP="00472715">
            <w:pPr>
              <w:spacing w:before="120"/>
              <w:ind w:left="720"/>
              <w:rPr>
                <w:rFonts w:cstheme="minorHAnsi"/>
                <w:i/>
                <w:iCs/>
              </w:rPr>
            </w:pPr>
            <w:r w:rsidRPr="00520C23">
              <w:rPr>
                <w:rFonts w:cstheme="minorHAnsi"/>
                <w:i/>
                <w:iCs/>
              </w:rPr>
              <w:t>(ii) Electrical conductivity data from the monitoring bore(s) must be measured as soon as practicable after the completion of construction of the monitoring bore(s) until decommissioning of all wells on the well site. Results submitted to the regulator: (i) by electronic means from the well site as soon as they are available; (ii) if this is unachievable to implement in the first stages of exploration, an alternative plan and timetable may be proposed before hydraulic fracturing commences, detailing how electrical conductivity information will be regularly submitted.</w:t>
            </w:r>
          </w:p>
          <w:p w14:paraId="0324552D" w14:textId="590FF1B2" w:rsidR="00472715" w:rsidRPr="00520C23" w:rsidRDefault="00472715" w:rsidP="00472715">
            <w:pPr>
              <w:spacing w:before="120"/>
              <w:rPr>
                <w:rFonts w:cstheme="minorHAnsi"/>
                <w:i/>
                <w:iCs/>
              </w:rPr>
            </w:pPr>
            <w:r w:rsidRPr="00520C23">
              <w:rPr>
                <w:rFonts w:cstheme="minorHAnsi"/>
                <w:i/>
                <w:iCs/>
              </w:rPr>
              <w:t>(c)</w:t>
            </w:r>
            <w:r w:rsidRPr="00520C23">
              <w:rPr>
                <w:rFonts w:cstheme="minorHAnsi"/>
                <w:b/>
                <w:i/>
                <w:iCs/>
              </w:rPr>
              <w:t xml:space="preserve"> </w:t>
            </w:r>
            <w:r w:rsidRPr="00520C23">
              <w:rPr>
                <w:rFonts w:cstheme="minorHAnsi"/>
                <w:i/>
                <w:iCs/>
              </w:rPr>
              <w:t>Any guidelines published by the Northern Territory Government from time to time relating to groundwater monitoring parameters, methodologies and frequencies for petroleum operations must be followed. This includes the</w:t>
            </w:r>
            <w:r w:rsidRPr="00520C23">
              <w:rPr>
                <w:rFonts w:cstheme="minorHAnsi"/>
                <w:b/>
                <w:i/>
                <w:iCs/>
              </w:rPr>
              <w:t xml:space="preserve"> </w:t>
            </w:r>
            <w:hyperlink r:id="rId29" w:history="1">
              <w:r w:rsidRPr="00520C23">
                <w:rPr>
                  <w:rStyle w:val="Hyperlink"/>
                  <w:rFonts w:cstheme="minorHAnsi"/>
                  <w:i/>
                  <w:iCs/>
                </w:rPr>
                <w:t>Preliminary Guideline: Groundwater Monitoring Bores for Exploration Petroleum Wells in the Beetaloo Sub-basin.</w:t>
              </w:r>
            </w:hyperlink>
          </w:p>
          <w:p w14:paraId="38783BB4" w14:textId="62DEC7DF" w:rsidR="00472715" w:rsidRPr="00520C23" w:rsidRDefault="00472715" w:rsidP="00472715">
            <w:pPr>
              <w:spacing w:before="120"/>
              <w:rPr>
                <w:rFonts w:cstheme="minorHAnsi"/>
              </w:rPr>
            </w:pPr>
          </w:p>
          <w:p w14:paraId="7EA13C73" w14:textId="379F504C" w:rsidR="00472715" w:rsidRPr="00520C23" w:rsidRDefault="00472715" w:rsidP="00472715">
            <w:pPr>
              <w:spacing w:before="120"/>
              <w:rPr>
                <w:rFonts w:cstheme="minorHAnsi"/>
                <w:b/>
              </w:rPr>
            </w:pPr>
            <w:r w:rsidRPr="00520C23">
              <w:rPr>
                <w:rFonts w:cstheme="minorHAnsi"/>
                <w:b/>
              </w:rPr>
              <w:t xml:space="preserve">Schedule </w:t>
            </w:r>
          </w:p>
          <w:p w14:paraId="05C6EA76" w14:textId="77777777" w:rsidR="00472715" w:rsidRPr="00520C23" w:rsidRDefault="00472715" w:rsidP="00472715">
            <w:pPr>
              <w:spacing w:before="120"/>
              <w:rPr>
                <w:rFonts w:cstheme="minorHAnsi"/>
              </w:rPr>
            </w:pPr>
            <w:r w:rsidRPr="00520C23">
              <w:rPr>
                <w:rFonts w:cstheme="minorHAnsi"/>
                <w:u w:val="single"/>
              </w:rPr>
              <w:t>302a Well barrier integrity validation reporting</w:t>
            </w:r>
            <w:r w:rsidRPr="00520C23">
              <w:rPr>
                <w:rFonts w:cstheme="minorHAnsi"/>
              </w:rPr>
              <w:t xml:space="preserve"> </w:t>
            </w:r>
          </w:p>
          <w:p w14:paraId="3B1D70A2" w14:textId="16B95381" w:rsidR="00472715" w:rsidRPr="00520C23" w:rsidRDefault="00472715" w:rsidP="00472715">
            <w:pPr>
              <w:spacing w:before="120"/>
              <w:rPr>
                <w:rFonts w:cstheme="minorHAnsi"/>
              </w:rPr>
            </w:pPr>
            <w:r w:rsidRPr="00520C23">
              <w:rPr>
                <w:rFonts w:cstheme="minorHAnsi"/>
              </w:rPr>
              <w:t xml:space="preserve">It is a requirement that, on any occasion a titleholder validates, installs, replaces or modifies a well barrier, or identifies degraded performance from a barrier, the titleholder must submit a “Well Barrier Integrity Validation” report… </w:t>
            </w:r>
            <w:r w:rsidRPr="00520C23">
              <w:rPr>
                <w:rFonts w:cstheme="minorHAnsi"/>
                <w:iCs/>
              </w:rPr>
              <w:t>The Well Barrier Integrity Validation Report (WBIV) is to be uploaded on the Department’s website.</w:t>
            </w:r>
            <w:r w:rsidRPr="00520C23">
              <w:rPr>
                <w:rFonts w:cstheme="minorHAnsi"/>
              </w:rPr>
              <w:t xml:space="preserve"> </w:t>
            </w:r>
          </w:p>
          <w:p w14:paraId="7376C06E" w14:textId="77777777" w:rsidR="00472715" w:rsidRPr="00520C23" w:rsidRDefault="00472715" w:rsidP="00472715">
            <w:pPr>
              <w:spacing w:before="120"/>
              <w:rPr>
                <w:rFonts w:cstheme="minorHAnsi"/>
              </w:rPr>
            </w:pPr>
            <w:r w:rsidRPr="00520C23">
              <w:rPr>
                <w:rFonts w:cstheme="minorHAnsi"/>
              </w:rPr>
              <w:t xml:space="preserve">In accordance with Clause 103, and before submission to the Department, the titleholder will have the following results in the WBIV certified by an independent and reputable validator. </w:t>
            </w:r>
          </w:p>
          <w:p w14:paraId="2DC1240A" w14:textId="77777777" w:rsidR="00472715" w:rsidRPr="00520C23" w:rsidRDefault="00472715" w:rsidP="00472715">
            <w:pPr>
              <w:spacing w:before="120"/>
              <w:ind w:left="720"/>
              <w:rPr>
                <w:rFonts w:cstheme="minorHAnsi"/>
              </w:rPr>
            </w:pPr>
            <w:r w:rsidRPr="00520C23">
              <w:rPr>
                <w:rFonts w:cstheme="minorHAnsi"/>
              </w:rPr>
              <w:t xml:space="preserve">• Results of any well integrity tests conducted before and after hydraulic fracturing; </w:t>
            </w:r>
          </w:p>
          <w:p w14:paraId="659052A5" w14:textId="77777777" w:rsidR="00472715" w:rsidRPr="00520C23" w:rsidRDefault="00472715" w:rsidP="00472715">
            <w:pPr>
              <w:spacing w:before="120"/>
              <w:ind w:left="720"/>
              <w:rPr>
                <w:rFonts w:cstheme="minorHAnsi"/>
              </w:rPr>
            </w:pPr>
            <w:r w:rsidRPr="00520C23">
              <w:rPr>
                <w:rFonts w:cstheme="minorHAnsi"/>
              </w:rPr>
              <w:t xml:space="preserve">• Results of any integrity tests after a well barrier is installed, replaced or modified. </w:t>
            </w:r>
          </w:p>
          <w:p w14:paraId="6CBF7AED" w14:textId="77777777" w:rsidR="00472715" w:rsidRPr="00520C23" w:rsidRDefault="00472715" w:rsidP="00472715">
            <w:pPr>
              <w:spacing w:before="120"/>
              <w:rPr>
                <w:rFonts w:cstheme="minorHAnsi"/>
                <w:iCs/>
              </w:rPr>
            </w:pPr>
            <w:r w:rsidRPr="00520C23">
              <w:rPr>
                <w:rFonts w:cstheme="minorHAnsi"/>
                <w:iCs/>
              </w:rPr>
              <w:t>Submission of the WBIV to the Department must be accompanied with a copy of the validator’s certification.</w:t>
            </w:r>
          </w:p>
          <w:p w14:paraId="75D84B1F" w14:textId="77777777" w:rsidR="00472715" w:rsidRPr="00520C23" w:rsidRDefault="00472715" w:rsidP="00472715">
            <w:pPr>
              <w:spacing w:before="120"/>
              <w:rPr>
                <w:rFonts w:cstheme="minorHAnsi"/>
                <w:b/>
              </w:rPr>
            </w:pPr>
          </w:p>
          <w:p w14:paraId="303648F5" w14:textId="77777777" w:rsidR="00472715" w:rsidRPr="00520C23" w:rsidRDefault="00472715" w:rsidP="00472715">
            <w:pPr>
              <w:spacing w:before="120"/>
              <w:rPr>
                <w:rFonts w:cstheme="minorHAnsi"/>
                <w:u w:val="single"/>
              </w:rPr>
            </w:pPr>
            <w:r w:rsidRPr="00520C23">
              <w:rPr>
                <w:rFonts w:cstheme="minorHAnsi"/>
                <w:u w:val="single"/>
              </w:rPr>
              <w:t>301c Contents of well operations management plan</w:t>
            </w:r>
          </w:p>
          <w:p w14:paraId="754A1D6F" w14:textId="77777777" w:rsidR="00472715" w:rsidRPr="00520C23" w:rsidRDefault="00472715" w:rsidP="00472715">
            <w:pPr>
              <w:spacing w:before="120"/>
              <w:rPr>
                <w:rFonts w:cstheme="minorHAnsi"/>
                <w:i/>
                <w:iCs/>
              </w:rPr>
            </w:pPr>
            <w:r w:rsidRPr="00520C23">
              <w:rPr>
                <w:rFonts w:cstheme="minorHAnsi"/>
                <w:i/>
                <w:iCs/>
              </w:rPr>
              <w:t xml:space="preserve">301c(1) The matters that must be included in a well operations management plan are as follows: </w:t>
            </w:r>
          </w:p>
          <w:p w14:paraId="7BFC17A8" w14:textId="49828EB5" w:rsidR="00472715" w:rsidRPr="00520C23" w:rsidRDefault="00472715" w:rsidP="00472715">
            <w:pPr>
              <w:spacing w:before="120"/>
              <w:rPr>
                <w:rFonts w:cstheme="minorHAnsi"/>
                <w:i/>
                <w:iCs/>
              </w:rPr>
            </w:pPr>
            <w:r w:rsidRPr="00520C23">
              <w:rPr>
                <w:rFonts w:cstheme="minorHAnsi"/>
                <w:i/>
                <w:iCs/>
              </w:rPr>
              <w:t>(h) A description of the monitoring, audit and well integrity assurance processes that will be implemented to ensure the performance outcomes and performance standards are being met throughout the life of the well…</w:t>
            </w:r>
          </w:p>
          <w:p w14:paraId="11248397" w14:textId="339621E4" w:rsidR="00472715" w:rsidRPr="00520C23" w:rsidRDefault="00472715" w:rsidP="00472715">
            <w:pPr>
              <w:spacing w:before="120"/>
              <w:rPr>
                <w:rFonts w:cstheme="minorHAnsi"/>
              </w:rPr>
            </w:pPr>
            <w:r w:rsidRPr="00520C23">
              <w:rPr>
                <w:rFonts w:cstheme="minorHAnsi"/>
              </w:rPr>
              <w:t xml:space="preserve">NOTE: Results of the monitoring process and outcomes are to be uploaded on the Government’s website along with any remedial action undertaken as per Clause 302a (see above). </w:t>
            </w:r>
          </w:p>
          <w:p w14:paraId="45658F7D" w14:textId="77777777" w:rsidR="00472715" w:rsidRPr="00520C23" w:rsidRDefault="00472715" w:rsidP="00472715">
            <w:pPr>
              <w:spacing w:before="120"/>
              <w:rPr>
                <w:rFonts w:cstheme="minorHAnsi"/>
                <w:b/>
              </w:rPr>
            </w:pPr>
          </w:p>
          <w:p w14:paraId="2C18F6D4" w14:textId="77777777" w:rsidR="00472715" w:rsidRPr="00520C23" w:rsidRDefault="00472715" w:rsidP="00472715">
            <w:pPr>
              <w:spacing w:before="120"/>
              <w:rPr>
                <w:rFonts w:cstheme="minorHAnsi"/>
              </w:rPr>
            </w:pPr>
          </w:p>
          <w:p w14:paraId="1C1E900E" w14:textId="77777777" w:rsidR="00472715" w:rsidRPr="00520C23" w:rsidRDefault="00472715" w:rsidP="00472715">
            <w:pPr>
              <w:spacing w:before="120"/>
              <w:rPr>
                <w:rFonts w:cstheme="minorHAnsi"/>
              </w:rPr>
            </w:pPr>
          </w:p>
          <w:p w14:paraId="0E74D54D" w14:textId="09BD60B6" w:rsidR="00472715" w:rsidRPr="00520C23" w:rsidRDefault="00472715" w:rsidP="00472715">
            <w:pPr>
              <w:spacing w:before="120"/>
              <w:rPr>
                <w:rFonts w:cstheme="minorHAnsi"/>
              </w:rPr>
            </w:pPr>
          </w:p>
        </w:tc>
        <w:tc>
          <w:tcPr>
            <w:tcW w:w="5310" w:type="dxa"/>
            <w:shd w:val="clear" w:color="auto" w:fill="FFF2CC" w:themeFill="accent4" w:themeFillTint="33"/>
          </w:tcPr>
          <w:p w14:paraId="54E3988B" w14:textId="29305ADD" w:rsidR="00472715" w:rsidRPr="00520C23" w:rsidRDefault="00472715" w:rsidP="00472715">
            <w:pPr>
              <w:spacing w:before="120"/>
            </w:pPr>
            <w:r w:rsidRPr="00520C23">
              <w:lastRenderedPageBreak/>
              <w:t>The Code largely addresses recommendation 7.11, with one exception.</w:t>
            </w:r>
          </w:p>
          <w:p w14:paraId="6D59BDF9" w14:textId="57BF0CF3" w:rsidR="00472715" w:rsidRPr="00520C23" w:rsidRDefault="00472715" w:rsidP="00472715">
            <w:pPr>
              <w:spacing w:before="120"/>
              <w:rPr>
                <w:i/>
                <w:iCs/>
                <w:u w:val="single"/>
              </w:rPr>
            </w:pPr>
            <w:r w:rsidRPr="00520C23">
              <w:rPr>
                <w:i/>
                <w:iCs/>
                <w:u w:val="single"/>
              </w:rPr>
              <w:t>Comments</w:t>
            </w:r>
          </w:p>
          <w:p w14:paraId="7BCE9C36" w14:textId="69621D9E" w:rsidR="00472715" w:rsidRPr="00520C23" w:rsidRDefault="00472715" w:rsidP="00472715">
            <w:pPr>
              <w:pStyle w:val="ListParagraph"/>
              <w:numPr>
                <w:ilvl w:val="0"/>
                <w:numId w:val="33"/>
              </w:numPr>
              <w:spacing w:before="120"/>
            </w:pPr>
            <w:r w:rsidRPr="00520C23">
              <w:t xml:space="preserve">See concerns in recommendation 5.3 in relation to the failure to require Category 9 well construction. </w:t>
            </w:r>
          </w:p>
          <w:p w14:paraId="26E4D331" w14:textId="5760ACC7" w:rsidR="00472715" w:rsidRPr="00520C23" w:rsidRDefault="00472715" w:rsidP="00472715">
            <w:pPr>
              <w:spacing w:before="120"/>
              <w:rPr>
                <w:rFonts w:cstheme="minorHAnsi"/>
              </w:rPr>
            </w:pPr>
          </w:p>
        </w:tc>
      </w:tr>
      <w:tr w:rsidR="00EA3C33" w:rsidRPr="00520C23" w14:paraId="4701C549" w14:textId="77777777" w:rsidTr="00EA3C33">
        <w:tc>
          <w:tcPr>
            <w:tcW w:w="846" w:type="dxa"/>
            <w:tcBorders>
              <w:bottom w:val="single" w:sz="4" w:space="0" w:color="auto"/>
            </w:tcBorders>
            <w:shd w:val="clear" w:color="auto" w:fill="auto"/>
          </w:tcPr>
          <w:p w14:paraId="7ADBCFF7" w14:textId="556A156D" w:rsidR="00472715" w:rsidRPr="00520C23" w:rsidRDefault="00472715" w:rsidP="00472715">
            <w:pPr>
              <w:spacing w:before="120"/>
              <w:jc w:val="center"/>
              <w:rPr>
                <w:rFonts w:cstheme="minorHAnsi"/>
              </w:rPr>
            </w:pPr>
            <w:r w:rsidRPr="00520C23">
              <w:rPr>
                <w:rFonts w:cstheme="minorHAnsi"/>
              </w:rPr>
              <w:lastRenderedPageBreak/>
              <w:t>7.12</w:t>
            </w:r>
          </w:p>
        </w:tc>
        <w:tc>
          <w:tcPr>
            <w:tcW w:w="4819" w:type="dxa"/>
            <w:tcBorders>
              <w:bottom w:val="single" w:sz="4" w:space="0" w:color="auto"/>
            </w:tcBorders>
            <w:shd w:val="clear" w:color="auto" w:fill="auto"/>
          </w:tcPr>
          <w:p w14:paraId="2DA24BC1" w14:textId="208C39B5"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to reduce the risk of contamination of surface aquifers from on-site spills of wastewater: </w:t>
            </w:r>
          </w:p>
          <w:p w14:paraId="46F4DB7C" w14:textId="77777777" w:rsidR="00472715" w:rsidRPr="00520C23" w:rsidRDefault="00472715" w:rsidP="00472715">
            <w:pPr>
              <w:spacing w:before="120"/>
              <w:rPr>
                <w:rFonts w:cstheme="minorHAnsi"/>
                <w:i/>
                <w:iCs/>
              </w:rPr>
            </w:pPr>
            <w:r w:rsidRPr="00520C23">
              <w:rPr>
                <w:rFonts w:cstheme="minorHAnsi"/>
                <w:i/>
                <w:iCs/>
              </w:rPr>
              <w:t xml:space="preserve">• the Environment Management Plan for each well pad must include an enforceable wastewater management plan and spill management plan; </w:t>
            </w:r>
          </w:p>
          <w:p w14:paraId="02806C42" w14:textId="77777777" w:rsidR="00472715" w:rsidRPr="00520C23" w:rsidRDefault="00472715" w:rsidP="00472715">
            <w:pPr>
              <w:spacing w:before="120"/>
              <w:rPr>
                <w:rFonts w:cstheme="minorHAnsi"/>
                <w:i/>
                <w:iCs/>
              </w:rPr>
            </w:pPr>
            <w:r w:rsidRPr="00520C23">
              <w:rPr>
                <w:rFonts w:cstheme="minorHAnsi"/>
                <w:i/>
                <w:iCs/>
              </w:rPr>
              <w:lastRenderedPageBreak/>
              <w:t xml:space="preserve">• enclosed tanks must be used to hold all wastewater; and </w:t>
            </w:r>
          </w:p>
          <w:p w14:paraId="13450584" w14:textId="3A9508D3" w:rsidR="00472715" w:rsidRPr="00520C23" w:rsidRDefault="00472715" w:rsidP="00472715">
            <w:pPr>
              <w:spacing w:before="120"/>
              <w:rPr>
                <w:rFonts w:cstheme="minorHAnsi"/>
                <w:i/>
                <w:iCs/>
              </w:rPr>
            </w:pPr>
            <w:r w:rsidRPr="00520C23">
              <w:rPr>
                <w:rFonts w:cstheme="minorHAnsi"/>
                <w:i/>
                <w:iCs/>
              </w:rPr>
              <w:t>• the well pad site must be bunded to prevent any runoff of wastewater, and be treated (for example, with a geomembrane or clay liner) to prevent the infiltration of wastewater spills into underlying soil.</w:t>
            </w:r>
          </w:p>
          <w:p w14:paraId="6E26E0C6" w14:textId="253255F7" w:rsidR="00472715" w:rsidRPr="00520C23" w:rsidRDefault="00472715" w:rsidP="00472715">
            <w:pPr>
              <w:spacing w:before="120"/>
              <w:rPr>
                <w:rFonts w:cstheme="minorHAnsi"/>
                <w:i/>
                <w:iCs/>
              </w:rPr>
            </w:pPr>
          </w:p>
        </w:tc>
        <w:tc>
          <w:tcPr>
            <w:tcW w:w="5760" w:type="dxa"/>
            <w:tcBorders>
              <w:bottom w:val="single" w:sz="4" w:space="0" w:color="auto"/>
            </w:tcBorders>
            <w:shd w:val="clear" w:color="auto" w:fill="auto"/>
          </w:tcPr>
          <w:p w14:paraId="4FDC9E33" w14:textId="182366FF"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lastRenderedPageBreak/>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30">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 and can be </w:t>
            </w:r>
            <w:hyperlink r:id="rId31">
              <w:r w:rsidRPr="00520C23">
                <w:rPr>
                  <w:rStyle w:val="Hyperlink"/>
                  <w:rFonts w:ascii="Calibri" w:eastAsia="Calibri" w:hAnsi="Calibri" w:cs="Calibri"/>
                </w:rPr>
                <w:t>found here</w:t>
              </w:r>
            </w:hyperlink>
            <w:r w:rsidRPr="00520C23">
              <w:rPr>
                <w:rFonts w:ascii="Calibri" w:eastAsia="Calibri" w:hAnsi="Calibri" w:cs="Calibri"/>
                <w:color w:val="313131"/>
              </w:rPr>
              <w:t>.</w:t>
            </w:r>
          </w:p>
        </w:tc>
        <w:tc>
          <w:tcPr>
            <w:tcW w:w="5670" w:type="dxa"/>
            <w:tcBorders>
              <w:bottom w:val="single" w:sz="4" w:space="0" w:color="auto"/>
            </w:tcBorders>
            <w:shd w:val="clear" w:color="auto" w:fill="auto"/>
          </w:tcPr>
          <w:p w14:paraId="71B5B0B5" w14:textId="27F7CC56" w:rsidR="00472715" w:rsidRPr="00520C23" w:rsidRDefault="00472715" w:rsidP="00472715">
            <w:pPr>
              <w:spacing w:before="120"/>
              <w:rPr>
                <w:rFonts w:cstheme="minorHAnsi"/>
                <w:bCs/>
              </w:rPr>
            </w:pPr>
            <w:r w:rsidRPr="00520C23">
              <w:rPr>
                <w:rFonts w:cstheme="minorHAnsi"/>
                <w:bCs/>
              </w:rPr>
              <w:t xml:space="preserve">The Code of Practice calls for the inclusion of a wastewater management plan (WWMP) and spill management plan (SMP) within the Environmental Management Plan (EMP). </w:t>
            </w:r>
          </w:p>
          <w:p w14:paraId="1F38D2CE" w14:textId="4B583B2C" w:rsidR="00472715" w:rsidRPr="00520C23" w:rsidRDefault="00472715" w:rsidP="00472715">
            <w:pPr>
              <w:spacing w:before="120"/>
              <w:rPr>
                <w:rFonts w:cstheme="minorHAnsi"/>
              </w:rPr>
            </w:pPr>
            <w:r w:rsidRPr="00520C23">
              <w:rPr>
                <w:rFonts w:cstheme="minorHAnsi"/>
                <w:b/>
              </w:rPr>
              <w:t>Code of Practice</w:t>
            </w:r>
          </w:p>
          <w:p w14:paraId="61FBF257" w14:textId="77777777" w:rsidR="00472715" w:rsidRPr="00520C23" w:rsidRDefault="00472715" w:rsidP="00472715">
            <w:pPr>
              <w:spacing w:before="120"/>
              <w:rPr>
                <w:rFonts w:cstheme="minorHAnsi"/>
                <w:u w:val="single"/>
              </w:rPr>
            </w:pPr>
            <w:r w:rsidRPr="00520C23">
              <w:rPr>
                <w:rFonts w:cstheme="minorHAnsi"/>
                <w:u w:val="single"/>
              </w:rPr>
              <w:t xml:space="preserve">C.3 Wastewater management framework </w:t>
            </w:r>
          </w:p>
          <w:p w14:paraId="335B03FA" w14:textId="77777777" w:rsidR="00472715" w:rsidRPr="00520C23" w:rsidRDefault="00472715" w:rsidP="00472715">
            <w:pPr>
              <w:spacing w:before="120"/>
              <w:rPr>
                <w:rFonts w:cstheme="minorHAnsi"/>
                <w:i/>
                <w:iCs/>
                <w:color w:val="000000"/>
              </w:rPr>
            </w:pPr>
            <w:r w:rsidRPr="00520C23">
              <w:rPr>
                <w:rFonts w:cstheme="minorHAnsi"/>
                <w:i/>
                <w:iCs/>
                <w:color w:val="000000"/>
              </w:rPr>
              <w:lastRenderedPageBreak/>
              <w:t xml:space="preserve">The components of the wastewater management framework … include … </w:t>
            </w:r>
          </w:p>
          <w:p w14:paraId="02D73599" w14:textId="77777777" w:rsidR="00472715" w:rsidRPr="00520C23" w:rsidRDefault="00472715" w:rsidP="00472715">
            <w:pPr>
              <w:spacing w:before="120"/>
              <w:rPr>
                <w:rFonts w:cstheme="minorHAnsi"/>
                <w:i/>
                <w:iCs/>
              </w:rPr>
            </w:pPr>
            <w:r w:rsidRPr="00520C23">
              <w:rPr>
                <w:rFonts w:cstheme="minorHAnsi"/>
                <w:i/>
                <w:iCs/>
              </w:rPr>
              <w:t xml:space="preserve">(d) Provide for the relevant activities and the environmental risks and environmental impacts they involve in a </w:t>
            </w:r>
            <w:r w:rsidRPr="00520C23">
              <w:rPr>
                <w:rFonts w:cstheme="minorHAnsi"/>
                <w:bCs/>
                <w:i/>
                <w:iCs/>
              </w:rPr>
              <w:t>Wastewater Management Plan</w:t>
            </w:r>
            <w:r w:rsidRPr="00520C23">
              <w:rPr>
                <w:rFonts w:cstheme="minorHAnsi"/>
                <w:b/>
                <w:bCs/>
                <w:i/>
                <w:iCs/>
              </w:rPr>
              <w:t xml:space="preserve"> </w:t>
            </w:r>
            <w:r w:rsidRPr="00520C23">
              <w:rPr>
                <w:rFonts w:cstheme="minorHAnsi"/>
                <w:i/>
                <w:iCs/>
              </w:rPr>
              <w:t xml:space="preserve">(WWMP) and a </w:t>
            </w:r>
            <w:r w:rsidRPr="00520C23">
              <w:rPr>
                <w:rFonts w:cstheme="minorHAnsi"/>
                <w:bCs/>
                <w:i/>
                <w:iCs/>
              </w:rPr>
              <w:t>Spill Management Plan</w:t>
            </w:r>
            <w:r w:rsidRPr="00520C23">
              <w:rPr>
                <w:rFonts w:cstheme="minorHAnsi"/>
                <w:b/>
                <w:bCs/>
                <w:i/>
                <w:iCs/>
              </w:rPr>
              <w:t xml:space="preserve"> </w:t>
            </w:r>
            <w:r w:rsidRPr="00520C23">
              <w:rPr>
                <w:rFonts w:cstheme="minorHAnsi"/>
                <w:i/>
                <w:iCs/>
              </w:rPr>
              <w:t xml:space="preserve">(SMP), as part of the EMP. </w:t>
            </w:r>
          </w:p>
          <w:p w14:paraId="23CB24C7" w14:textId="33BD5E4B" w:rsidR="00472715" w:rsidRPr="00520C23" w:rsidRDefault="00472715" w:rsidP="00472715">
            <w:pPr>
              <w:spacing w:before="120"/>
              <w:rPr>
                <w:rFonts w:cstheme="minorHAnsi"/>
                <w:i/>
                <w:iCs/>
              </w:rPr>
            </w:pPr>
            <w:r w:rsidRPr="00520C23">
              <w:rPr>
                <w:rFonts w:cstheme="minorHAnsi"/>
                <w:i/>
                <w:iCs/>
              </w:rPr>
              <w:t xml:space="preserve">(e) Monitor, manage and report in accordance with the WWMP and SMP. </w:t>
            </w:r>
          </w:p>
          <w:p w14:paraId="05618C33" w14:textId="434EB27F" w:rsidR="00472715" w:rsidRPr="00520C23" w:rsidRDefault="00472715" w:rsidP="00472715">
            <w:pPr>
              <w:spacing w:before="120"/>
              <w:rPr>
                <w:rFonts w:cstheme="minorHAnsi"/>
                <w:b/>
              </w:rPr>
            </w:pPr>
            <w:r w:rsidRPr="00520C23">
              <w:rPr>
                <w:rFonts w:cstheme="minorHAnsi"/>
                <w:bCs/>
                <w:u w:val="single"/>
              </w:rPr>
              <w:t>C.7.1 Wastewater management plan</w:t>
            </w:r>
          </w:p>
          <w:p w14:paraId="20EE842A" w14:textId="77777777" w:rsidR="00472715" w:rsidRPr="00520C23" w:rsidRDefault="00472715" w:rsidP="00472715">
            <w:pPr>
              <w:spacing w:before="120"/>
              <w:rPr>
                <w:rFonts w:cstheme="minorHAnsi"/>
                <w:i/>
                <w:iCs/>
              </w:rPr>
            </w:pPr>
            <w:r w:rsidRPr="00520C23">
              <w:rPr>
                <w:rFonts w:cstheme="minorHAnsi"/>
                <w:i/>
                <w:iCs/>
              </w:rPr>
              <w:t>(a) An EMP for a petroleum activity must include a wastewater management plan (</w:t>
            </w:r>
            <w:r w:rsidRPr="00520C23">
              <w:rPr>
                <w:rFonts w:cstheme="minorHAnsi"/>
                <w:b/>
                <w:bCs/>
                <w:i/>
                <w:iCs/>
              </w:rPr>
              <w:t>WWMP</w:t>
            </w:r>
            <w:r w:rsidRPr="00520C23">
              <w:rPr>
                <w:rFonts w:cstheme="minorHAnsi"/>
                <w:i/>
                <w:iCs/>
              </w:rPr>
              <w:t xml:space="preserve">). </w:t>
            </w:r>
          </w:p>
          <w:p w14:paraId="7950FE32" w14:textId="77777777" w:rsidR="00472715" w:rsidRPr="00520C23" w:rsidRDefault="00472715" w:rsidP="00472715">
            <w:pPr>
              <w:spacing w:before="120"/>
              <w:rPr>
                <w:rFonts w:cstheme="minorHAnsi"/>
                <w:i/>
                <w:iCs/>
              </w:rPr>
            </w:pPr>
            <w:r w:rsidRPr="00520C23">
              <w:rPr>
                <w:rFonts w:cstheme="minorHAnsi"/>
                <w:i/>
                <w:iCs/>
              </w:rPr>
              <w:t xml:space="preserve">(b) A WWMP must address all water and wastewater management activities which are proposed, as defined in section C.2.1 and as excluded by section C.2.2 of this Code. </w:t>
            </w:r>
          </w:p>
          <w:p w14:paraId="3334B42F" w14:textId="77777777" w:rsidR="00472715" w:rsidRPr="00520C23" w:rsidRDefault="00472715" w:rsidP="00472715">
            <w:pPr>
              <w:spacing w:before="120"/>
              <w:rPr>
                <w:rFonts w:cstheme="minorHAnsi"/>
                <w:i/>
                <w:iCs/>
              </w:rPr>
            </w:pPr>
            <w:r w:rsidRPr="00520C23">
              <w:rPr>
                <w:rFonts w:cstheme="minorHAnsi"/>
                <w:i/>
                <w:iCs/>
              </w:rPr>
              <w:t xml:space="preserve">(c) The WWMP must include a description of the activities that will generate waste and wastewater, including any activities that may generate drilling materials (refer to definition in Section C.4.1), </w:t>
            </w:r>
            <w:r w:rsidRPr="00520C23">
              <w:rPr>
                <w:rFonts w:cstheme="minorHAnsi"/>
                <w:b/>
                <w:bCs/>
                <w:i/>
                <w:iCs/>
              </w:rPr>
              <w:t>produced water</w:t>
            </w:r>
            <w:r w:rsidRPr="00520C23">
              <w:rPr>
                <w:rFonts w:cstheme="minorHAnsi"/>
                <w:i/>
                <w:iCs/>
              </w:rPr>
              <w:t xml:space="preserve">, </w:t>
            </w:r>
            <w:r w:rsidRPr="00520C23">
              <w:rPr>
                <w:rFonts w:cstheme="minorHAnsi"/>
                <w:b/>
                <w:bCs/>
                <w:i/>
                <w:iCs/>
              </w:rPr>
              <w:t xml:space="preserve">flowback fluid </w:t>
            </w:r>
            <w:r w:rsidRPr="00520C23">
              <w:rPr>
                <w:rFonts w:cstheme="minorHAnsi"/>
                <w:i/>
                <w:iCs/>
              </w:rPr>
              <w:t xml:space="preserve">and any other waste which is proposed to be handled, stored or transported away from the area in which the activity is approved to be carried out… </w:t>
            </w:r>
          </w:p>
          <w:p w14:paraId="4BA72B9B" w14:textId="77777777" w:rsidR="00472715" w:rsidRPr="00520C23" w:rsidRDefault="00472715" w:rsidP="00472715">
            <w:pPr>
              <w:spacing w:before="120"/>
              <w:rPr>
                <w:rFonts w:cstheme="minorHAnsi"/>
                <w:u w:val="single"/>
              </w:rPr>
            </w:pPr>
            <w:r w:rsidRPr="00520C23">
              <w:rPr>
                <w:rFonts w:cstheme="minorHAnsi"/>
                <w:bCs/>
                <w:u w:val="single"/>
              </w:rPr>
              <w:t xml:space="preserve">C.7.2 Spill management plan </w:t>
            </w:r>
          </w:p>
          <w:p w14:paraId="6740B6F8" w14:textId="77777777" w:rsidR="00472715" w:rsidRPr="00520C23" w:rsidRDefault="00472715" w:rsidP="00472715">
            <w:pPr>
              <w:spacing w:before="120"/>
              <w:rPr>
                <w:rFonts w:cstheme="minorHAnsi"/>
                <w:i/>
                <w:iCs/>
              </w:rPr>
            </w:pPr>
            <w:r w:rsidRPr="00520C23">
              <w:rPr>
                <w:rFonts w:cstheme="minorHAnsi"/>
                <w:i/>
                <w:iCs/>
              </w:rPr>
              <w:t>(a) An EMP for a petroleum activity must include a Spill Management Plan (</w:t>
            </w:r>
            <w:r w:rsidRPr="00520C23">
              <w:rPr>
                <w:rFonts w:cstheme="minorHAnsi"/>
                <w:b/>
                <w:bCs/>
                <w:i/>
                <w:iCs/>
              </w:rPr>
              <w:t>SMP</w:t>
            </w:r>
            <w:r w:rsidRPr="00520C23">
              <w:rPr>
                <w:rFonts w:cstheme="minorHAnsi"/>
                <w:i/>
                <w:iCs/>
              </w:rPr>
              <w:t xml:space="preserve">). </w:t>
            </w:r>
          </w:p>
          <w:p w14:paraId="38B823E2" w14:textId="77777777" w:rsidR="00472715" w:rsidRPr="00520C23" w:rsidRDefault="00472715" w:rsidP="00472715">
            <w:pPr>
              <w:spacing w:before="120"/>
              <w:rPr>
                <w:rFonts w:cstheme="minorHAnsi"/>
                <w:i/>
                <w:iCs/>
              </w:rPr>
            </w:pPr>
            <w:r w:rsidRPr="00520C23">
              <w:rPr>
                <w:rFonts w:cstheme="minorHAnsi"/>
                <w:i/>
                <w:iCs/>
              </w:rPr>
              <w:t xml:space="preserve">(b) The content of an SMP as stipulated by this Code may be incorporated into an emergency contingency plan that is also required to be submitted as part of an EMP. </w:t>
            </w:r>
          </w:p>
          <w:p w14:paraId="0B455C23" w14:textId="77777777" w:rsidR="00472715" w:rsidRPr="00520C23" w:rsidRDefault="00472715" w:rsidP="00472715">
            <w:pPr>
              <w:spacing w:before="120"/>
              <w:rPr>
                <w:rFonts w:cstheme="minorHAnsi"/>
                <w:i/>
                <w:iCs/>
              </w:rPr>
            </w:pPr>
            <w:r w:rsidRPr="00520C23">
              <w:rPr>
                <w:rFonts w:cstheme="minorHAnsi"/>
                <w:i/>
                <w:iCs/>
              </w:rPr>
              <w:t xml:space="preserve">(c) The SMP must assess and manage the risks posed by potential spills of waste, wastewater produced oil or condensate, fluids and any chemicals used or stored as part of petroleum activity. </w:t>
            </w:r>
          </w:p>
          <w:p w14:paraId="30580A1C" w14:textId="77777777" w:rsidR="00472715" w:rsidRPr="00520C23" w:rsidRDefault="00472715" w:rsidP="00472715">
            <w:pPr>
              <w:spacing w:before="120"/>
              <w:rPr>
                <w:rFonts w:cstheme="minorHAnsi"/>
                <w:b/>
              </w:rPr>
            </w:pPr>
          </w:p>
          <w:p w14:paraId="1A3A422B" w14:textId="3BE58F83" w:rsidR="00472715" w:rsidRPr="00520C23" w:rsidRDefault="00472715" w:rsidP="00472715">
            <w:pPr>
              <w:spacing w:before="120"/>
              <w:rPr>
                <w:rFonts w:cstheme="minorHAnsi"/>
              </w:rPr>
            </w:pPr>
            <w:r w:rsidRPr="00520C23">
              <w:rPr>
                <w:rFonts w:cstheme="minorHAnsi"/>
                <w:bCs/>
              </w:rPr>
              <w:t xml:space="preserve">The Code also has </w:t>
            </w:r>
            <w:r w:rsidRPr="00520C23">
              <w:rPr>
                <w:rFonts w:cstheme="minorHAnsi"/>
              </w:rPr>
              <w:t>references the use of enclosed tanks for produced water and flowback fluid, save for in particular circumstances:</w:t>
            </w:r>
          </w:p>
          <w:p w14:paraId="48092B16" w14:textId="77777777" w:rsidR="00472715" w:rsidRPr="00520C23" w:rsidRDefault="00472715" w:rsidP="00472715">
            <w:pPr>
              <w:spacing w:before="120"/>
              <w:rPr>
                <w:rFonts w:cstheme="minorHAnsi"/>
                <w:u w:val="single"/>
              </w:rPr>
            </w:pPr>
            <w:r w:rsidRPr="00520C23">
              <w:rPr>
                <w:rFonts w:cstheme="minorHAnsi"/>
                <w:u w:val="single"/>
              </w:rPr>
              <w:t xml:space="preserve">C.4.2 Management of produced water and flowback fluid </w:t>
            </w:r>
          </w:p>
          <w:p w14:paraId="22C6BF10" w14:textId="611B6FE7" w:rsidR="00472715" w:rsidRPr="00520C23" w:rsidRDefault="00472715" w:rsidP="00472715">
            <w:pPr>
              <w:spacing w:before="120"/>
              <w:rPr>
                <w:rFonts w:cstheme="minorHAnsi"/>
                <w:u w:val="single"/>
              </w:rPr>
            </w:pPr>
            <w:r w:rsidRPr="00520C23">
              <w:rPr>
                <w:rFonts w:cstheme="minorHAnsi"/>
                <w:u w:val="single"/>
              </w:rPr>
              <w:t xml:space="preserve">C.4.2.2 Mandatory requirements </w:t>
            </w:r>
          </w:p>
          <w:p w14:paraId="3D9C9B02" w14:textId="77777777" w:rsidR="00472715" w:rsidRPr="00520C23" w:rsidRDefault="00472715" w:rsidP="00472715">
            <w:pPr>
              <w:spacing w:before="120"/>
              <w:rPr>
                <w:rFonts w:cstheme="minorHAnsi"/>
                <w:i/>
                <w:iCs/>
              </w:rPr>
            </w:pPr>
            <w:r w:rsidRPr="00520C23">
              <w:rPr>
                <w:rFonts w:cstheme="minorHAnsi"/>
                <w:i/>
                <w:iCs/>
              </w:rPr>
              <w:t xml:space="preserve">(a) All produced water and flowback fluid must be held in above-ground enclosed tanks at all times following release from the petroleum well other than in the following circumstances: </w:t>
            </w:r>
          </w:p>
          <w:p w14:paraId="3BF37F88" w14:textId="77777777" w:rsidR="00472715" w:rsidRPr="00520C23" w:rsidRDefault="00472715" w:rsidP="00472715">
            <w:pPr>
              <w:spacing w:before="120"/>
              <w:ind w:left="702"/>
              <w:rPr>
                <w:rFonts w:cstheme="minorHAnsi"/>
                <w:i/>
                <w:iCs/>
              </w:rPr>
            </w:pPr>
            <w:r w:rsidRPr="00520C23">
              <w:rPr>
                <w:rFonts w:cstheme="minorHAnsi"/>
                <w:i/>
                <w:iCs/>
              </w:rPr>
              <w:t xml:space="preserve">i. it is being treated for reuse or disposal </w:t>
            </w:r>
          </w:p>
          <w:p w14:paraId="07705C27" w14:textId="77777777" w:rsidR="00472715" w:rsidRPr="00520C23" w:rsidRDefault="00472715" w:rsidP="00472715">
            <w:pPr>
              <w:spacing w:before="120"/>
              <w:ind w:left="702"/>
              <w:rPr>
                <w:rFonts w:cstheme="minorHAnsi"/>
                <w:i/>
                <w:iCs/>
              </w:rPr>
            </w:pPr>
            <w:r w:rsidRPr="00520C23">
              <w:rPr>
                <w:rFonts w:cstheme="minorHAnsi"/>
                <w:i/>
                <w:iCs/>
              </w:rPr>
              <w:lastRenderedPageBreak/>
              <w:t xml:space="preserve">ii. it is being reused as explicitly authorised in an approved wastewater management plan (see Section C.7.1) </w:t>
            </w:r>
          </w:p>
          <w:p w14:paraId="7C8BEC2D" w14:textId="77777777" w:rsidR="00472715" w:rsidRPr="00520C23" w:rsidRDefault="00472715" w:rsidP="00472715">
            <w:pPr>
              <w:spacing w:before="120"/>
              <w:ind w:left="702"/>
              <w:rPr>
                <w:rFonts w:cstheme="minorHAnsi"/>
                <w:i/>
                <w:iCs/>
              </w:rPr>
            </w:pPr>
            <w:r w:rsidRPr="00520C23">
              <w:rPr>
                <w:rFonts w:cstheme="minorHAnsi"/>
                <w:i/>
                <w:iCs/>
              </w:rPr>
              <w:t xml:space="preserve">iii. it is being disposed of as explicitly authorised in an approved waste management plan (see Section C.7.1) </w:t>
            </w:r>
          </w:p>
          <w:p w14:paraId="1EF07A67" w14:textId="77777777" w:rsidR="00472715" w:rsidRPr="00520C23" w:rsidRDefault="00472715" w:rsidP="00472715">
            <w:pPr>
              <w:spacing w:before="120"/>
              <w:ind w:left="702"/>
              <w:rPr>
                <w:rFonts w:cstheme="minorHAnsi"/>
                <w:i/>
                <w:iCs/>
              </w:rPr>
            </w:pPr>
            <w:r w:rsidRPr="00520C23">
              <w:rPr>
                <w:rFonts w:cstheme="minorHAnsi"/>
                <w:i/>
                <w:iCs/>
              </w:rPr>
              <w:t xml:space="preserve">iv. it is being removed from site for lawful disposal elsewhere </w:t>
            </w:r>
          </w:p>
          <w:p w14:paraId="0A94853B" w14:textId="77777777" w:rsidR="00472715" w:rsidRPr="00520C23" w:rsidRDefault="00472715" w:rsidP="00472715">
            <w:pPr>
              <w:spacing w:before="120"/>
              <w:rPr>
                <w:rFonts w:cstheme="minorHAnsi"/>
                <w:u w:val="single"/>
              </w:rPr>
            </w:pPr>
            <w:r w:rsidRPr="00520C23">
              <w:rPr>
                <w:rFonts w:cstheme="minorHAnsi"/>
                <w:u w:val="single"/>
              </w:rPr>
              <w:t>C.7.1.1 Wastewater treatment, reuse and disposal</w:t>
            </w:r>
          </w:p>
          <w:p w14:paraId="7EC7EAAB" w14:textId="77777777" w:rsidR="00472715" w:rsidRPr="00520C23" w:rsidRDefault="00472715" w:rsidP="00472715">
            <w:pPr>
              <w:spacing w:before="120"/>
              <w:rPr>
                <w:rFonts w:cstheme="minorHAnsi"/>
              </w:rPr>
            </w:pPr>
            <w:r w:rsidRPr="00520C23">
              <w:rPr>
                <w:rFonts w:cstheme="minorHAnsi"/>
                <w:u w:val="single"/>
              </w:rPr>
              <w:t>C.7.1.1(a) Enclosed tank requirement in major rain events</w:t>
            </w:r>
          </w:p>
          <w:p w14:paraId="568291D7" w14:textId="0FFBC95C" w:rsidR="00472715" w:rsidRPr="00520C23" w:rsidRDefault="00472715" w:rsidP="00472715">
            <w:pPr>
              <w:spacing w:before="120"/>
              <w:ind w:left="702"/>
              <w:rPr>
                <w:rFonts w:cstheme="minorHAnsi"/>
                <w:i/>
                <w:iCs/>
              </w:rPr>
            </w:pPr>
            <w:r w:rsidRPr="00520C23">
              <w:rPr>
                <w:rFonts w:cstheme="minorHAnsi"/>
                <w:i/>
                <w:iCs/>
              </w:rPr>
              <w:t xml:space="preserve">ii. WWMP must include a plan to transfer </w:t>
            </w:r>
            <w:r w:rsidRPr="00520C23">
              <w:rPr>
                <w:rFonts w:cstheme="minorHAnsi"/>
                <w:b/>
                <w:bCs/>
                <w:i/>
                <w:iCs/>
              </w:rPr>
              <w:t xml:space="preserve">produced water </w:t>
            </w:r>
            <w:r w:rsidRPr="00520C23">
              <w:rPr>
                <w:rFonts w:cstheme="minorHAnsi"/>
                <w:i/>
                <w:iCs/>
              </w:rPr>
              <w:t xml:space="preserve">and </w:t>
            </w:r>
            <w:r w:rsidRPr="00520C23">
              <w:rPr>
                <w:rFonts w:cstheme="minorHAnsi"/>
                <w:b/>
                <w:bCs/>
                <w:i/>
                <w:iCs/>
              </w:rPr>
              <w:t xml:space="preserve">flowback fluid </w:t>
            </w:r>
            <w:r w:rsidRPr="00520C23">
              <w:rPr>
                <w:rFonts w:cstheme="minorHAnsi"/>
                <w:i/>
                <w:iCs/>
              </w:rPr>
              <w:t xml:space="preserve">into above-ground enclosed tanks (see section C.4.2.2) at least 8 hours in advance of any predicted significant rainfall event as specifically defined based on local weather conditions and other site specific risks; </w:t>
            </w:r>
          </w:p>
          <w:p w14:paraId="2AAA26F8" w14:textId="77777777" w:rsidR="00472715" w:rsidRPr="00520C23" w:rsidRDefault="00472715" w:rsidP="00472715">
            <w:pPr>
              <w:spacing w:before="120"/>
              <w:rPr>
                <w:rFonts w:cstheme="minorHAnsi"/>
              </w:rPr>
            </w:pPr>
          </w:p>
          <w:p w14:paraId="5CA5BC80" w14:textId="7CB2B856" w:rsidR="00472715" w:rsidRPr="00520C23" w:rsidRDefault="00472715" w:rsidP="00472715">
            <w:pPr>
              <w:spacing w:before="120"/>
              <w:rPr>
                <w:rFonts w:cstheme="minorHAnsi"/>
              </w:rPr>
            </w:pPr>
            <w:r w:rsidRPr="00520C23">
              <w:rPr>
                <w:rFonts w:cstheme="minorHAnsi"/>
                <w:bCs/>
              </w:rPr>
              <w:t xml:space="preserve">The Code </w:t>
            </w:r>
            <w:r w:rsidRPr="00520C23">
              <w:rPr>
                <w:rFonts w:cstheme="minorHAnsi"/>
              </w:rPr>
              <w:t>references well site fluids management:</w:t>
            </w:r>
          </w:p>
          <w:p w14:paraId="5D3D747B" w14:textId="77777777" w:rsidR="00472715" w:rsidRPr="00520C23" w:rsidRDefault="00472715" w:rsidP="00472715">
            <w:pPr>
              <w:spacing w:before="120"/>
              <w:rPr>
                <w:rFonts w:cstheme="minorHAnsi"/>
                <w:u w:val="single"/>
              </w:rPr>
            </w:pPr>
            <w:r w:rsidRPr="00520C23">
              <w:rPr>
                <w:rFonts w:cstheme="minorHAnsi"/>
                <w:u w:val="single"/>
              </w:rPr>
              <w:t>B.4.16 Site material and fluids management</w:t>
            </w:r>
          </w:p>
          <w:p w14:paraId="19AA87CD" w14:textId="524543F6" w:rsidR="00472715" w:rsidRPr="00520C23" w:rsidRDefault="00472715" w:rsidP="00472715">
            <w:pPr>
              <w:spacing w:before="120"/>
              <w:rPr>
                <w:rFonts w:cstheme="minorHAnsi"/>
                <w:b/>
                <w:u w:val="single"/>
              </w:rPr>
            </w:pPr>
            <w:r w:rsidRPr="00520C23">
              <w:rPr>
                <w:rFonts w:cstheme="minorHAnsi"/>
                <w:u w:val="single"/>
              </w:rPr>
              <w:t xml:space="preserve">B.4.16.2 Mandatory requirements </w:t>
            </w:r>
          </w:p>
          <w:p w14:paraId="3E287347" w14:textId="77777777" w:rsidR="00472715" w:rsidRPr="00520C23" w:rsidRDefault="00472715" w:rsidP="00472715">
            <w:pPr>
              <w:spacing w:before="120"/>
              <w:ind w:left="702"/>
              <w:rPr>
                <w:rFonts w:cstheme="minorHAnsi"/>
                <w:i/>
                <w:iCs/>
              </w:rPr>
            </w:pPr>
            <w:r w:rsidRPr="00520C23">
              <w:rPr>
                <w:rFonts w:cstheme="minorHAnsi"/>
                <w:i/>
                <w:iCs/>
              </w:rPr>
              <w:t xml:space="preserve">(f) The well site must be designed and operated to minimise the potential for releases of contaminants to the environment and the impacts of such a release. </w:t>
            </w:r>
          </w:p>
          <w:p w14:paraId="30DB404A" w14:textId="77777777" w:rsidR="00472715" w:rsidRPr="00520C23" w:rsidRDefault="00472715" w:rsidP="00472715">
            <w:pPr>
              <w:spacing w:before="120"/>
              <w:ind w:left="702"/>
              <w:rPr>
                <w:rFonts w:cstheme="minorHAnsi"/>
                <w:i/>
                <w:iCs/>
              </w:rPr>
            </w:pPr>
            <w:r w:rsidRPr="00520C23">
              <w:rPr>
                <w:rFonts w:cstheme="minorHAnsi"/>
                <w:i/>
                <w:iCs/>
              </w:rPr>
              <w:t>(h) Use, storage and handling of materials on site must be conducted in accordance with section A.3.8 and Part C of this Code</w:t>
            </w:r>
            <w:r w:rsidRPr="00520C23">
              <w:rPr>
                <w:rFonts w:cstheme="minorHAnsi"/>
                <w:b/>
                <w:bCs/>
                <w:i/>
                <w:iCs/>
              </w:rPr>
              <w:t xml:space="preserve">, </w:t>
            </w:r>
            <w:r w:rsidRPr="00520C23">
              <w:rPr>
                <w:rFonts w:cstheme="minorHAnsi"/>
                <w:i/>
                <w:iCs/>
              </w:rPr>
              <w:t xml:space="preserve">and: </w:t>
            </w:r>
          </w:p>
          <w:p w14:paraId="663E1406" w14:textId="77777777" w:rsidR="00472715" w:rsidRPr="00520C23" w:rsidRDefault="00472715" w:rsidP="00472715">
            <w:pPr>
              <w:spacing w:before="120"/>
              <w:ind w:left="1062"/>
              <w:rPr>
                <w:rFonts w:cstheme="minorHAnsi"/>
                <w:i/>
                <w:iCs/>
              </w:rPr>
            </w:pPr>
            <w:r w:rsidRPr="00520C23">
              <w:rPr>
                <w:rFonts w:cstheme="minorHAnsi"/>
                <w:i/>
                <w:iCs/>
              </w:rPr>
              <w:t xml:space="preserve">i. secondary containment must be instituted on areas of the well site where any hazardous chemicals or those that may cause environmental harm are to be stored or handled during all well operations. </w:t>
            </w:r>
          </w:p>
          <w:p w14:paraId="648A0EFA" w14:textId="706CCC66" w:rsidR="00472715" w:rsidRPr="00520C23" w:rsidRDefault="00472715" w:rsidP="00472715">
            <w:pPr>
              <w:spacing w:before="120"/>
              <w:ind w:left="1062"/>
              <w:rPr>
                <w:rFonts w:cstheme="minorHAnsi"/>
              </w:rPr>
            </w:pPr>
            <w:r w:rsidRPr="00520C23">
              <w:rPr>
                <w:rFonts w:cstheme="minorHAnsi"/>
                <w:i/>
                <w:iCs/>
              </w:rPr>
              <w:t>ii. areas where any hazardous chemicals or those that may cause environmental harm are to be stored or handled must be lined to be sufficiently impervious and able to contain spilled material or waste until it can be removed or treated. This lining may be a geomembrane or a suitably constructed clay liner.</w:t>
            </w:r>
          </w:p>
        </w:tc>
        <w:tc>
          <w:tcPr>
            <w:tcW w:w="5310" w:type="dxa"/>
            <w:tcBorders>
              <w:bottom w:val="single" w:sz="4" w:space="0" w:color="auto"/>
            </w:tcBorders>
            <w:shd w:val="clear" w:color="auto" w:fill="FFF2CC" w:themeFill="accent4" w:themeFillTint="33"/>
          </w:tcPr>
          <w:p w14:paraId="27DDCC38" w14:textId="772033B9" w:rsidR="00472715" w:rsidRPr="00520C23" w:rsidRDefault="00472715" w:rsidP="00472715">
            <w:pPr>
              <w:spacing w:before="120"/>
              <w:rPr>
                <w:rFonts w:cstheme="minorHAnsi"/>
              </w:rPr>
            </w:pPr>
            <w:r w:rsidRPr="00520C23">
              <w:rPr>
                <w:rFonts w:cstheme="minorHAnsi"/>
              </w:rPr>
              <w:lastRenderedPageBreak/>
              <w:t xml:space="preserve">The Code and PER largely implement recommendation 7.12, with a few exceptions, as set out below. </w:t>
            </w:r>
          </w:p>
          <w:p w14:paraId="4F0194B2" w14:textId="35E3A685" w:rsidR="00472715" w:rsidRPr="00520C23" w:rsidRDefault="00472715" w:rsidP="00472715">
            <w:pPr>
              <w:spacing w:before="120"/>
              <w:rPr>
                <w:rFonts w:cstheme="minorHAnsi"/>
                <w:i/>
                <w:iCs/>
                <w:u w:val="single"/>
              </w:rPr>
            </w:pPr>
            <w:r w:rsidRPr="00520C23">
              <w:rPr>
                <w:rFonts w:cstheme="minorHAnsi"/>
                <w:i/>
                <w:iCs/>
                <w:u w:val="single"/>
              </w:rPr>
              <w:t>Comments</w:t>
            </w:r>
          </w:p>
          <w:p w14:paraId="16FC9246" w14:textId="189AB2C9" w:rsidR="00472715" w:rsidRPr="00520C23" w:rsidRDefault="00BA72AE" w:rsidP="00472715">
            <w:pPr>
              <w:pStyle w:val="ListParagraph"/>
              <w:numPr>
                <w:ilvl w:val="0"/>
                <w:numId w:val="10"/>
              </w:numPr>
              <w:ind w:left="360"/>
              <w:rPr>
                <w:rFonts w:cstheme="minorHAnsi"/>
              </w:rPr>
            </w:pPr>
            <w:r>
              <w:rPr>
                <w:rFonts w:cstheme="minorHAnsi"/>
              </w:rPr>
              <w:t>According to</w:t>
            </w:r>
            <w:r w:rsidR="00472715" w:rsidRPr="00520C23">
              <w:rPr>
                <w:rFonts w:cstheme="minorHAnsi"/>
              </w:rPr>
              <w:t xml:space="preserve"> the Code and the</w:t>
            </w:r>
            <w:r w:rsidR="00472715" w:rsidRPr="00520C23">
              <w:rPr>
                <w:rFonts w:cstheme="minorHAnsi"/>
                <w:i/>
              </w:rPr>
              <w:t xml:space="preserve"> </w:t>
            </w:r>
            <w:r w:rsidR="00472715" w:rsidRPr="00520C23">
              <w:rPr>
                <w:rFonts w:cstheme="minorHAnsi"/>
                <w:iCs/>
              </w:rPr>
              <w:t>PER</w:t>
            </w:r>
            <w:r w:rsidR="00472715" w:rsidRPr="00520C23">
              <w:rPr>
                <w:rFonts w:cstheme="minorHAnsi"/>
              </w:rPr>
              <w:t xml:space="preserve">, the WWMP and SMP are enforceable, because: (a) Code C.3 provides that the WWMP and SMP are part of the EMP; and (b) the </w:t>
            </w:r>
            <w:r w:rsidR="00472715" w:rsidRPr="00520C23">
              <w:rPr>
                <w:rFonts w:cstheme="minorHAnsi"/>
                <w:iCs/>
              </w:rPr>
              <w:t>PER</w:t>
            </w:r>
            <w:r w:rsidR="00472715" w:rsidRPr="00520C23">
              <w:rPr>
                <w:rFonts w:cstheme="minorHAnsi"/>
                <w:i/>
              </w:rPr>
              <w:t xml:space="preserve"> </w:t>
            </w:r>
            <w:r w:rsidR="00472715" w:rsidRPr="00520C23">
              <w:rPr>
                <w:rFonts w:cstheme="minorHAnsi"/>
              </w:rPr>
              <w:t xml:space="preserve">provides that any person who carries out </w:t>
            </w:r>
            <w:r w:rsidR="00472715" w:rsidRPr="00520C23">
              <w:rPr>
                <w:rFonts w:cstheme="minorHAnsi"/>
              </w:rPr>
              <w:lastRenderedPageBreak/>
              <w:t>a regulated activity in a manner that contravenes an EMP commits an offence (clause 31).</w:t>
            </w:r>
          </w:p>
          <w:p w14:paraId="153AF65C" w14:textId="41ACA32B" w:rsidR="00472715" w:rsidRPr="00520C23" w:rsidRDefault="00472715" w:rsidP="00472715">
            <w:pPr>
              <w:pStyle w:val="ListParagraph"/>
              <w:numPr>
                <w:ilvl w:val="0"/>
                <w:numId w:val="10"/>
              </w:numPr>
              <w:spacing w:before="120"/>
              <w:ind w:left="360"/>
              <w:rPr>
                <w:rFonts w:cstheme="minorHAnsi"/>
              </w:rPr>
            </w:pPr>
            <w:r w:rsidRPr="00520C23">
              <w:rPr>
                <w:rFonts w:cstheme="minorHAnsi"/>
              </w:rPr>
              <w:t xml:space="preserve">Bunds are not explicitly mandatory for the well site. </w:t>
            </w:r>
          </w:p>
          <w:p w14:paraId="21521433" w14:textId="45788778" w:rsidR="00472715" w:rsidRPr="00520C23" w:rsidRDefault="00472715" w:rsidP="00472715">
            <w:pPr>
              <w:pStyle w:val="ListParagraph"/>
              <w:numPr>
                <w:ilvl w:val="0"/>
                <w:numId w:val="10"/>
              </w:numPr>
              <w:spacing w:before="120"/>
              <w:ind w:left="360"/>
              <w:rPr>
                <w:rFonts w:cstheme="minorHAnsi"/>
              </w:rPr>
            </w:pPr>
            <w:r w:rsidRPr="00520C23">
              <w:rPr>
                <w:rFonts w:cstheme="minorHAnsi"/>
              </w:rPr>
              <w:t>Enclosed tanks are generally required for holding wastewater. However, the Code’s exceptions (C.4.2.2) present risks (</w:t>
            </w:r>
            <w:r w:rsidRPr="00520C23">
              <w:rPr>
                <w:rFonts w:cstheme="minorHAnsi"/>
                <w:i/>
              </w:rPr>
              <w:t xml:space="preserve">e.g., </w:t>
            </w:r>
            <w:r w:rsidRPr="00520C23">
              <w:rPr>
                <w:rFonts w:cstheme="minorHAnsi"/>
              </w:rPr>
              <w:t xml:space="preserve">liners may break and leak wastewater, and that the region experiences huge rain events that may, if required procedures are not followed, lead to the overflow of the holding ponds). Given mention in other places of challenges of access during the wet season, companies may have difficulties in managing the rapid movements of wastewater into tanks before all major rain events. </w:t>
            </w:r>
          </w:p>
          <w:p w14:paraId="32996E94" w14:textId="7FFB250E" w:rsidR="00472715" w:rsidRPr="00520C23" w:rsidRDefault="0005259B" w:rsidP="00472715">
            <w:pPr>
              <w:pStyle w:val="ListParagraph"/>
              <w:numPr>
                <w:ilvl w:val="0"/>
                <w:numId w:val="10"/>
              </w:numPr>
              <w:spacing w:before="120"/>
              <w:ind w:left="360"/>
              <w:rPr>
                <w:rFonts w:cstheme="minorHAnsi"/>
              </w:rPr>
            </w:pPr>
            <w:r>
              <w:rPr>
                <w:rFonts w:cstheme="minorHAnsi"/>
                <w:b/>
                <w:bCs/>
              </w:rPr>
              <w:t>An expert should review</w:t>
            </w:r>
            <w:r w:rsidR="00472715" w:rsidRPr="00520C23">
              <w:rPr>
                <w:rFonts w:cstheme="minorHAnsi"/>
                <w:b/>
                <w:bCs/>
              </w:rPr>
              <w:t xml:space="preserve"> the Code</w:t>
            </w:r>
            <w:r w:rsidR="00472715" w:rsidRPr="00520C23">
              <w:rPr>
                <w:rFonts w:cstheme="minorHAnsi"/>
              </w:rPr>
              <w:t xml:space="preserve">, in particular B.4.16 and A.3.8, to assess whether the secondary containment requirements adequately meet the recommendation. </w:t>
            </w:r>
          </w:p>
          <w:p w14:paraId="1F6D8130" w14:textId="45B1CF0D" w:rsidR="00472715" w:rsidRPr="00520C23" w:rsidRDefault="00472715" w:rsidP="00472715">
            <w:pPr>
              <w:spacing w:before="120"/>
              <w:rPr>
                <w:rFonts w:cstheme="minorHAnsi"/>
              </w:rPr>
            </w:pPr>
          </w:p>
        </w:tc>
      </w:tr>
      <w:tr w:rsidR="00EA3C33" w:rsidRPr="00520C23" w14:paraId="3A1BCD3E" w14:textId="77777777" w:rsidTr="00EA3C33">
        <w:tc>
          <w:tcPr>
            <w:tcW w:w="846" w:type="dxa"/>
            <w:tcBorders>
              <w:bottom w:val="single" w:sz="4" w:space="0" w:color="auto"/>
            </w:tcBorders>
            <w:shd w:val="clear" w:color="auto" w:fill="auto"/>
          </w:tcPr>
          <w:p w14:paraId="2FB3BDB7" w14:textId="2BD0ABC8" w:rsidR="00472715" w:rsidRPr="00520C23" w:rsidRDefault="00472715" w:rsidP="00472715">
            <w:pPr>
              <w:spacing w:before="120"/>
              <w:jc w:val="center"/>
              <w:rPr>
                <w:rFonts w:cstheme="minorHAnsi"/>
              </w:rPr>
            </w:pPr>
            <w:r w:rsidRPr="00520C23">
              <w:rPr>
                <w:rFonts w:cstheme="minorHAnsi"/>
              </w:rPr>
              <w:lastRenderedPageBreak/>
              <w:t xml:space="preserve">7.13 </w:t>
            </w:r>
          </w:p>
        </w:tc>
        <w:tc>
          <w:tcPr>
            <w:tcW w:w="4819" w:type="dxa"/>
            <w:tcBorders>
              <w:bottom w:val="single" w:sz="4" w:space="0" w:color="auto"/>
            </w:tcBorders>
            <w:shd w:val="clear" w:color="auto" w:fill="auto"/>
          </w:tcPr>
          <w:p w14:paraId="2077ACCB" w14:textId="74928DDF" w:rsidR="00472715" w:rsidRPr="00520C23" w:rsidRDefault="00472715" w:rsidP="00472715">
            <w:pPr>
              <w:spacing w:before="120"/>
              <w:rPr>
                <w:rFonts w:cstheme="minorHAnsi"/>
                <w:i/>
                <w:iCs/>
              </w:rPr>
            </w:pPr>
            <w:r w:rsidRPr="00520C23">
              <w:rPr>
                <w:rFonts w:cstheme="minorHAnsi"/>
                <w:i/>
                <w:iCs/>
              </w:rPr>
              <w:t xml:space="preserve">Upon a gas company undertaking any exploration activity or production activity, monitoring of the groundwater must be implemented around each well pad to detect any groundwater contamination, adopting the monitoring outlined in Recommendation 7.11 (see above). If </w:t>
            </w:r>
            <w:r w:rsidRPr="00520C23">
              <w:rPr>
                <w:rFonts w:cstheme="minorHAnsi"/>
                <w:i/>
                <w:iCs/>
              </w:rPr>
              <w:lastRenderedPageBreak/>
              <w:t>contamination is detected, remediation must commence immediately.</w:t>
            </w:r>
          </w:p>
        </w:tc>
        <w:tc>
          <w:tcPr>
            <w:tcW w:w="5760" w:type="dxa"/>
            <w:tcBorders>
              <w:bottom w:val="single" w:sz="4" w:space="0" w:color="auto"/>
            </w:tcBorders>
            <w:shd w:val="clear" w:color="auto" w:fill="auto"/>
          </w:tcPr>
          <w:p w14:paraId="3219118A" w14:textId="1BC45580" w:rsidR="00472715" w:rsidRPr="00520C23" w:rsidRDefault="00472715" w:rsidP="00472715">
            <w:pPr>
              <w:spacing w:before="120"/>
            </w:pPr>
            <w:r w:rsidRPr="00520C23">
              <w:rPr>
                <w:rFonts w:ascii="Calibri" w:eastAsia="Calibri" w:hAnsi="Calibri" w:cs="Calibri"/>
                <w:color w:val="313131"/>
              </w:rPr>
              <w:lastRenderedPageBreak/>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32">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w:t>
            </w:r>
          </w:p>
          <w:p w14:paraId="732A3B4D" w14:textId="0153EBB5" w:rsidR="00472715" w:rsidRPr="00520C23" w:rsidRDefault="00472715" w:rsidP="00472715">
            <w:pPr>
              <w:spacing w:before="120"/>
            </w:pPr>
            <w:r w:rsidRPr="00520C23">
              <w:rPr>
                <w:rFonts w:ascii="Calibri" w:eastAsia="Calibri" w:hAnsi="Calibri" w:cs="Calibri"/>
                <w:color w:val="313131"/>
              </w:rPr>
              <w:lastRenderedPageBreak/>
              <w:t xml:space="preserve">The Code requires proponents to comply with the Preliminary Guideline for Groundwater monitoring bores for Exploration Petroleum Wells in the Beetaloo Sub-basin which was finalised and distributed on 29 November 2018. The guideline has been uploaded to the </w:t>
            </w:r>
            <w:hyperlink r:id="rId33">
              <w:r w:rsidRPr="00520C23">
                <w:rPr>
                  <w:rStyle w:val="Hyperlink"/>
                  <w:rFonts w:ascii="Calibri" w:eastAsia="Calibri" w:hAnsi="Calibri" w:cs="Calibri"/>
                </w:rPr>
                <w:t>DEPWS website</w:t>
              </w:r>
            </w:hyperlink>
            <w:r w:rsidRPr="00520C23">
              <w:rPr>
                <w:rFonts w:ascii="Calibri" w:eastAsia="Calibri" w:hAnsi="Calibri" w:cs="Calibri"/>
                <w:color w:val="313131"/>
              </w:rPr>
              <w:t>.</w:t>
            </w:r>
          </w:p>
        </w:tc>
        <w:tc>
          <w:tcPr>
            <w:tcW w:w="5670" w:type="dxa"/>
            <w:tcBorders>
              <w:bottom w:val="single" w:sz="4" w:space="0" w:color="auto"/>
            </w:tcBorders>
            <w:shd w:val="clear" w:color="auto" w:fill="auto"/>
          </w:tcPr>
          <w:p w14:paraId="2A2CA257" w14:textId="004D2B91" w:rsidR="00472715" w:rsidRPr="00520C23" w:rsidRDefault="00472715" w:rsidP="00472715">
            <w:pPr>
              <w:spacing w:before="120"/>
              <w:rPr>
                <w:rFonts w:cstheme="minorHAnsi"/>
              </w:rPr>
            </w:pPr>
            <w:r w:rsidRPr="00520C23">
              <w:rPr>
                <w:rFonts w:cstheme="minorHAnsi"/>
              </w:rPr>
              <w:lastRenderedPageBreak/>
              <w:t xml:space="preserve">As per recommendation 7.11. </w:t>
            </w:r>
          </w:p>
        </w:tc>
        <w:tc>
          <w:tcPr>
            <w:tcW w:w="5310" w:type="dxa"/>
            <w:tcBorders>
              <w:bottom w:val="single" w:sz="4" w:space="0" w:color="auto"/>
            </w:tcBorders>
            <w:shd w:val="clear" w:color="auto" w:fill="E2EFD9" w:themeFill="accent6" w:themeFillTint="33"/>
          </w:tcPr>
          <w:p w14:paraId="1619D9DF" w14:textId="08B6B875" w:rsidR="00472715" w:rsidRPr="00520C23" w:rsidRDefault="00472715" w:rsidP="00472715">
            <w:pPr>
              <w:spacing w:before="120"/>
              <w:rPr>
                <w:rFonts w:cstheme="minorHAnsi"/>
              </w:rPr>
            </w:pPr>
            <w:r w:rsidRPr="00520C23">
              <w:rPr>
                <w:rFonts w:cstheme="minorHAnsi"/>
              </w:rPr>
              <w:t>The Code adequately addresses recommendation 7.13.</w:t>
            </w:r>
          </w:p>
          <w:p w14:paraId="0D5CBF19" w14:textId="0D94875E" w:rsidR="00472715" w:rsidRPr="00520C23" w:rsidRDefault="00472715" w:rsidP="00472715">
            <w:pPr>
              <w:spacing w:before="120"/>
              <w:rPr>
                <w:rFonts w:cstheme="minorHAnsi"/>
              </w:rPr>
            </w:pPr>
          </w:p>
        </w:tc>
      </w:tr>
      <w:tr w:rsidR="00EA3C33" w:rsidRPr="00520C23" w14:paraId="1294C570" w14:textId="77777777" w:rsidTr="00EA3C33">
        <w:tc>
          <w:tcPr>
            <w:tcW w:w="846" w:type="dxa"/>
            <w:tcBorders>
              <w:bottom w:val="single" w:sz="4" w:space="0" w:color="auto"/>
            </w:tcBorders>
            <w:shd w:val="clear" w:color="auto" w:fill="auto"/>
          </w:tcPr>
          <w:p w14:paraId="1D765579" w14:textId="42F53B9D" w:rsidR="00472715" w:rsidRPr="00520C23" w:rsidRDefault="00472715" w:rsidP="00472715">
            <w:pPr>
              <w:spacing w:before="120"/>
              <w:jc w:val="center"/>
              <w:rPr>
                <w:rFonts w:cstheme="minorHAnsi"/>
              </w:rPr>
            </w:pPr>
            <w:r w:rsidRPr="00520C23">
              <w:rPr>
                <w:rFonts w:cstheme="minorHAnsi"/>
              </w:rPr>
              <w:t>7.15</w:t>
            </w:r>
          </w:p>
        </w:tc>
        <w:tc>
          <w:tcPr>
            <w:tcW w:w="4819" w:type="dxa"/>
            <w:tcBorders>
              <w:bottom w:val="single" w:sz="4" w:space="0" w:color="auto"/>
            </w:tcBorders>
            <w:shd w:val="clear" w:color="auto" w:fill="auto"/>
          </w:tcPr>
          <w:p w14:paraId="5FB9CF75" w14:textId="15F73664" w:rsidR="00472715" w:rsidRPr="00520C23" w:rsidRDefault="00472715" w:rsidP="00472715">
            <w:pPr>
              <w:spacing w:before="120"/>
              <w:rPr>
                <w:rFonts w:cstheme="minorHAnsi"/>
                <w:i/>
                <w:iCs/>
              </w:rPr>
            </w:pPr>
            <w:bookmarkStart w:id="2" w:name="_Hlk85609208"/>
            <w:r w:rsidRPr="00520C23">
              <w:rPr>
                <w:rFonts w:cstheme="minorHAnsi"/>
                <w:i/>
                <w:iCs/>
              </w:rPr>
              <w:t xml:space="preserve">That gas companies must submit details of </w:t>
            </w:r>
            <w:r w:rsidRPr="00520C23">
              <w:rPr>
                <w:rFonts w:cstheme="minorHAnsi"/>
                <w:b/>
                <w:bCs/>
                <w:i/>
                <w:iCs/>
              </w:rPr>
              <w:t>the locations of all faults that could compromise well integrity.</w:t>
            </w:r>
            <w:r w:rsidRPr="00520C23">
              <w:rPr>
                <w:rFonts w:cstheme="minorHAnsi"/>
                <w:i/>
                <w:iCs/>
              </w:rPr>
              <w:t xml:space="preserve"> The occurrence of any faults must be addressed in the </w:t>
            </w:r>
            <w:r w:rsidRPr="00520C23">
              <w:rPr>
                <w:rFonts w:cstheme="minorHAnsi"/>
                <w:b/>
                <w:bCs/>
                <w:i/>
                <w:iCs/>
              </w:rPr>
              <w:t>well design plan submitted to the regulator for approval</w:t>
            </w:r>
            <w:r w:rsidRPr="00520C23">
              <w:rPr>
                <w:rFonts w:cstheme="minorHAnsi"/>
                <w:i/>
                <w:iCs/>
              </w:rPr>
              <w:t xml:space="preserve">. The details of all faults and the well design plans must be </w:t>
            </w:r>
            <w:r w:rsidRPr="00520C23">
              <w:rPr>
                <w:rFonts w:cstheme="minorHAnsi"/>
                <w:b/>
                <w:bCs/>
                <w:i/>
                <w:iCs/>
              </w:rPr>
              <w:t>publicly disclosed online as soon as they are available</w:t>
            </w:r>
            <w:r w:rsidRPr="00520C23">
              <w:rPr>
                <w:rFonts w:cstheme="minorHAnsi"/>
                <w:i/>
                <w:iCs/>
              </w:rPr>
              <w:t>.</w:t>
            </w:r>
            <w:bookmarkEnd w:id="2"/>
          </w:p>
        </w:tc>
        <w:tc>
          <w:tcPr>
            <w:tcW w:w="5760" w:type="dxa"/>
            <w:tcBorders>
              <w:bottom w:val="single" w:sz="4" w:space="0" w:color="auto"/>
            </w:tcBorders>
            <w:shd w:val="clear" w:color="auto" w:fill="auto"/>
          </w:tcPr>
          <w:p w14:paraId="1EE937E2" w14:textId="77777777" w:rsidR="00472715" w:rsidRPr="00520C23" w:rsidRDefault="00472715" w:rsidP="00472715">
            <w:pPr>
              <w:spacing w:before="120"/>
              <w:rPr>
                <w:rFonts w:cstheme="minorHAnsi"/>
                <w:bCs/>
              </w:rPr>
            </w:pPr>
            <w:r w:rsidRPr="00520C23">
              <w:rPr>
                <w:rFonts w:cstheme="minorHAnsi"/>
                <w:bCs/>
              </w:rPr>
              <w:t>The Northern Territory Government has worked with independent scientific experts to develop a Code of Practice relative to the Inquiry's recommendation. The Code is legally enforceable through the Petroleum (Environment) Regulations 2016. The finalised </w:t>
            </w:r>
            <w:hyperlink r:id="rId34" w:history="1">
              <w:r w:rsidRPr="00520C23">
                <w:rPr>
                  <w:rStyle w:val="Hyperlink"/>
                  <w:rFonts w:cstheme="minorHAnsi"/>
                  <w:bCs/>
                </w:rPr>
                <w:t>Code</w:t>
              </w:r>
            </w:hyperlink>
            <w:r w:rsidRPr="00520C23">
              <w:rPr>
                <w:rFonts w:cstheme="minorHAnsi"/>
                <w:bCs/>
              </w:rPr>
              <w:t> was published on 12 June 2019.</w:t>
            </w:r>
          </w:p>
          <w:p w14:paraId="7658A6CC" w14:textId="17825C76" w:rsidR="00472715" w:rsidRPr="00520C23" w:rsidRDefault="00472715" w:rsidP="00472715">
            <w:pPr>
              <w:spacing w:before="120"/>
              <w:rPr>
                <w:rFonts w:cstheme="minorHAnsi"/>
                <w:bCs/>
              </w:rPr>
            </w:pPr>
            <w:r w:rsidRPr="00520C23">
              <w:rPr>
                <w:rFonts w:cstheme="minorHAnsi"/>
                <w:bCs/>
              </w:rPr>
              <w:t xml:space="preserve">The Schedule is available </w:t>
            </w:r>
            <w:hyperlink r:id="rId35" w:history="1">
              <w:r w:rsidRPr="00520C23">
                <w:rPr>
                  <w:rStyle w:val="Hyperlink"/>
                  <w:rFonts w:cstheme="minorHAnsi"/>
                  <w:bCs/>
                </w:rPr>
                <w:t>here</w:t>
              </w:r>
            </w:hyperlink>
            <w:r w:rsidRPr="00520C23">
              <w:rPr>
                <w:rFonts w:cstheme="minorHAnsi"/>
                <w:bCs/>
              </w:rPr>
              <w:t>.</w:t>
            </w:r>
          </w:p>
        </w:tc>
        <w:tc>
          <w:tcPr>
            <w:tcW w:w="5670" w:type="dxa"/>
            <w:tcBorders>
              <w:bottom w:val="single" w:sz="4" w:space="0" w:color="auto"/>
            </w:tcBorders>
            <w:shd w:val="clear" w:color="auto" w:fill="auto"/>
          </w:tcPr>
          <w:p w14:paraId="0C873C76" w14:textId="3185926E" w:rsidR="00472715" w:rsidRPr="00520C23" w:rsidRDefault="00472715" w:rsidP="00472715">
            <w:pPr>
              <w:spacing w:before="120"/>
              <w:rPr>
                <w:rFonts w:cstheme="minorHAnsi"/>
                <w:b/>
              </w:rPr>
            </w:pPr>
            <w:r w:rsidRPr="00520C23">
              <w:rPr>
                <w:rFonts w:cstheme="minorHAnsi"/>
                <w:b/>
              </w:rPr>
              <w:t>Schedule of onshore petroleum exploration and production requirements</w:t>
            </w:r>
          </w:p>
          <w:p w14:paraId="5A1133DB" w14:textId="77777777" w:rsidR="00472715" w:rsidRPr="00520C23" w:rsidRDefault="00472715" w:rsidP="00472715">
            <w:pPr>
              <w:spacing w:before="120"/>
              <w:rPr>
                <w:u w:val="single"/>
              </w:rPr>
            </w:pPr>
            <w:r w:rsidRPr="00520C23">
              <w:rPr>
                <w:u w:val="single"/>
              </w:rPr>
              <w:t>301c. Contents of well operations management plan</w:t>
            </w:r>
          </w:p>
          <w:p w14:paraId="5B6E21FE" w14:textId="2475235F" w:rsidR="00472715" w:rsidRPr="00520C23" w:rsidRDefault="00472715" w:rsidP="00472715">
            <w:pPr>
              <w:pStyle w:val="ListParagraph"/>
              <w:numPr>
                <w:ilvl w:val="0"/>
                <w:numId w:val="78"/>
              </w:numPr>
              <w:spacing w:before="120"/>
              <w:rPr>
                <w:i/>
                <w:iCs/>
              </w:rPr>
            </w:pPr>
            <w:r w:rsidRPr="00520C23">
              <w:rPr>
                <w:i/>
                <w:iCs/>
              </w:rPr>
              <w:t>The matters that must be included in a well operations management plan are as follow</w:t>
            </w:r>
          </w:p>
          <w:p w14:paraId="2FC89598" w14:textId="77777777" w:rsidR="00472715" w:rsidRPr="00520C23" w:rsidRDefault="00472715" w:rsidP="00472715">
            <w:pPr>
              <w:pStyle w:val="ListParagraph"/>
              <w:spacing w:before="120"/>
              <w:rPr>
                <w:i/>
                <w:iCs/>
              </w:rPr>
            </w:pPr>
            <w:r w:rsidRPr="00520C23">
              <w:rPr>
                <w:i/>
                <w:iCs/>
              </w:rPr>
              <w:t xml:space="preserve">(a) A description of the well, and the well activities relating to the well, to which the plan applies; </w:t>
            </w:r>
          </w:p>
          <w:p w14:paraId="0545180F" w14:textId="77777777" w:rsidR="00472715" w:rsidRPr="00520C23" w:rsidRDefault="00472715" w:rsidP="00472715">
            <w:pPr>
              <w:pStyle w:val="ListParagraph"/>
              <w:spacing w:before="120"/>
              <w:rPr>
                <w:i/>
                <w:iCs/>
              </w:rPr>
            </w:pPr>
            <w:r w:rsidRPr="00520C23">
              <w:rPr>
                <w:i/>
                <w:iCs/>
              </w:rPr>
              <w:t xml:space="preserve">(b) A description of the risk management process used to identify and assess risks to the integrity of the well; (c) A description and explanation of the design, construction, operation and management of the well, and conduct of well activities, showing how risks to the integrity of the well will be reduced to as low as reasonably practicable; </w:t>
            </w:r>
          </w:p>
          <w:p w14:paraId="4203E482" w14:textId="1BDC8D78" w:rsidR="00472715" w:rsidRPr="00520C23" w:rsidRDefault="00472715" w:rsidP="00472715">
            <w:pPr>
              <w:spacing w:before="120"/>
            </w:pPr>
            <w:bookmarkStart w:id="3" w:name="_Hlk85609475"/>
            <w:r w:rsidRPr="00520C23">
              <w:t>Note: A separate well plan summary, detailing the location of all known faults and geo‐hazards, must be submitted for uploading on the Department’s website.</w:t>
            </w:r>
            <w:bookmarkEnd w:id="3"/>
          </w:p>
        </w:tc>
        <w:tc>
          <w:tcPr>
            <w:tcW w:w="5310" w:type="dxa"/>
            <w:tcBorders>
              <w:bottom w:val="single" w:sz="4" w:space="0" w:color="auto"/>
            </w:tcBorders>
            <w:shd w:val="clear" w:color="auto" w:fill="FFF2CC" w:themeFill="accent4" w:themeFillTint="33"/>
          </w:tcPr>
          <w:p w14:paraId="6AB93802" w14:textId="536BD247" w:rsidR="00472715" w:rsidRPr="00520C23" w:rsidRDefault="00472715" w:rsidP="00472715">
            <w:pPr>
              <w:spacing w:before="120"/>
              <w:rPr>
                <w:rFonts w:cstheme="minorHAnsi"/>
              </w:rPr>
            </w:pPr>
            <w:r w:rsidRPr="00520C23">
              <w:rPr>
                <w:rFonts w:cstheme="minorHAnsi"/>
              </w:rPr>
              <w:t xml:space="preserve">Schedule, s. 301c adequately addresses recommendation 7.15, however, </w:t>
            </w:r>
            <w:r w:rsidR="00DD0574">
              <w:rPr>
                <w:rFonts w:cstheme="minorHAnsi"/>
              </w:rPr>
              <w:t>there are some</w:t>
            </w:r>
            <w:r w:rsidRPr="00520C23">
              <w:rPr>
                <w:rFonts w:cstheme="minorHAnsi"/>
              </w:rPr>
              <w:t xml:space="preserve"> concerns about its implementation. </w:t>
            </w:r>
          </w:p>
          <w:p w14:paraId="37A24C33" w14:textId="4B800400" w:rsidR="00472715" w:rsidRPr="00520C23" w:rsidRDefault="00472715" w:rsidP="00472715">
            <w:pPr>
              <w:spacing w:before="120"/>
              <w:rPr>
                <w:rFonts w:cstheme="minorHAnsi"/>
                <w:i/>
                <w:iCs/>
                <w:u w:val="single"/>
              </w:rPr>
            </w:pPr>
            <w:r w:rsidRPr="00520C23">
              <w:rPr>
                <w:rFonts w:cstheme="minorHAnsi"/>
                <w:i/>
                <w:iCs/>
                <w:u w:val="single"/>
              </w:rPr>
              <w:t xml:space="preserve">Comments </w:t>
            </w:r>
          </w:p>
          <w:p w14:paraId="491FA6AC" w14:textId="01824424" w:rsidR="00472715" w:rsidRPr="00520C23" w:rsidRDefault="00472715" w:rsidP="00472715">
            <w:pPr>
              <w:pStyle w:val="ListParagraph"/>
              <w:numPr>
                <w:ilvl w:val="0"/>
                <w:numId w:val="10"/>
              </w:numPr>
              <w:spacing w:before="120"/>
              <w:rPr>
                <w:rFonts w:cstheme="minorHAnsi"/>
              </w:rPr>
            </w:pPr>
            <w:r w:rsidRPr="00520C23">
              <w:rPr>
                <w:rFonts w:cstheme="minorHAnsi"/>
              </w:rPr>
              <w:t xml:space="preserve">It not clear where the “separate well plan summary” is on the Department’s website, and </w:t>
            </w:r>
            <w:r w:rsidR="00A22F2D">
              <w:rPr>
                <w:rFonts w:cstheme="minorHAnsi"/>
              </w:rPr>
              <w:t>there does not seem to be</w:t>
            </w:r>
            <w:r w:rsidRPr="00520C23">
              <w:rPr>
                <w:rFonts w:cstheme="minorHAnsi"/>
              </w:rPr>
              <w:t xml:space="preserve"> a </w:t>
            </w:r>
            <w:r w:rsidR="003B7C79">
              <w:rPr>
                <w:rFonts w:cstheme="minorHAnsi"/>
              </w:rPr>
              <w:t xml:space="preserve">publicly available </w:t>
            </w:r>
            <w:r w:rsidRPr="00520C23">
              <w:rPr>
                <w:rFonts w:cstheme="minorHAnsi"/>
              </w:rPr>
              <w:t xml:space="preserve">plan with this fault information for any of the approved exploration wells. </w:t>
            </w:r>
          </w:p>
          <w:p w14:paraId="2A622792" w14:textId="1BACFAF7" w:rsidR="00472715" w:rsidRPr="00520C23" w:rsidRDefault="00472715" w:rsidP="00472715">
            <w:pPr>
              <w:pStyle w:val="ListParagraph"/>
              <w:numPr>
                <w:ilvl w:val="0"/>
                <w:numId w:val="10"/>
              </w:numPr>
              <w:spacing w:before="120"/>
              <w:rPr>
                <w:rFonts w:cstheme="minorHAnsi"/>
              </w:rPr>
            </w:pPr>
            <w:r w:rsidRPr="00520C23">
              <w:rPr>
                <w:rFonts w:cstheme="minorHAnsi"/>
              </w:rPr>
              <w:t>In the Imperial 2021-2025 program partially approved on 3 September 2021, Imperial stated that they planned to use the seismic testing under assessment to characteri</w:t>
            </w:r>
            <w:r w:rsidR="00F37E5D">
              <w:rPr>
                <w:rFonts w:cstheme="minorHAnsi"/>
              </w:rPr>
              <w:t>s</w:t>
            </w:r>
            <w:r w:rsidRPr="00520C23">
              <w:rPr>
                <w:rFonts w:cstheme="minorHAnsi"/>
              </w:rPr>
              <w:t xml:space="preserve">e the faults that would then be built into a future well management plan. Thus, the Minister was being asked to approve a plan that did not contain all relevant information at the time.  </w:t>
            </w:r>
          </w:p>
        </w:tc>
      </w:tr>
      <w:tr w:rsidR="00EA3C33" w:rsidRPr="00520C23" w14:paraId="5909E59E" w14:textId="52AD940F" w:rsidTr="00EA3C33">
        <w:tc>
          <w:tcPr>
            <w:tcW w:w="846" w:type="dxa"/>
            <w:tcBorders>
              <w:bottom w:val="single" w:sz="4" w:space="0" w:color="auto"/>
            </w:tcBorders>
            <w:shd w:val="clear" w:color="auto" w:fill="auto"/>
          </w:tcPr>
          <w:p w14:paraId="7C95101F" w14:textId="77777777" w:rsidR="00472715" w:rsidRPr="00520C23" w:rsidRDefault="00472715" w:rsidP="00472715">
            <w:pPr>
              <w:spacing w:before="120"/>
              <w:jc w:val="center"/>
              <w:rPr>
                <w:rFonts w:cstheme="minorHAnsi"/>
              </w:rPr>
            </w:pPr>
            <w:r w:rsidRPr="00520C23">
              <w:rPr>
                <w:rFonts w:cstheme="minorHAnsi"/>
              </w:rPr>
              <w:t>7.17</w:t>
            </w:r>
          </w:p>
        </w:tc>
        <w:tc>
          <w:tcPr>
            <w:tcW w:w="4819" w:type="dxa"/>
            <w:tcBorders>
              <w:bottom w:val="single" w:sz="4" w:space="0" w:color="auto"/>
            </w:tcBorders>
            <w:shd w:val="clear" w:color="auto" w:fill="auto"/>
          </w:tcPr>
          <w:p w14:paraId="6E30967B" w14:textId="3EB19182"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the discharge of any onshore shale gas hydraulic fracturing wastewater (treated or untreated) to either drainage lines, waterways, temporary stream systems or waterholes be prohibited. </w:t>
            </w:r>
          </w:p>
        </w:tc>
        <w:tc>
          <w:tcPr>
            <w:tcW w:w="5760" w:type="dxa"/>
            <w:tcBorders>
              <w:bottom w:val="single" w:sz="4" w:space="0" w:color="auto"/>
            </w:tcBorders>
            <w:shd w:val="clear" w:color="auto" w:fill="auto"/>
          </w:tcPr>
          <w:p w14:paraId="33A76253" w14:textId="45E91F7E"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Amendments to the </w:t>
            </w:r>
            <w:r w:rsidRPr="00520C23">
              <w:rPr>
                <w:rFonts w:ascii="Calibri" w:eastAsia="Calibri" w:hAnsi="Calibri" w:cs="Calibri"/>
                <w:i/>
                <w:iCs/>
                <w:color w:val="313131"/>
              </w:rPr>
              <w:t>Water Act 1992</w:t>
            </w:r>
            <w:r w:rsidRPr="00520C23">
              <w:rPr>
                <w:rFonts w:ascii="Calibri" w:eastAsia="Calibri" w:hAnsi="Calibri" w:cs="Calibri"/>
                <w:color w:val="313131"/>
              </w:rPr>
              <w:t xml:space="preserve"> commenced on 19 June 2019 and stipulate that release of hydraulic fracturing waste to surface waters is an offence.</w:t>
            </w:r>
          </w:p>
        </w:tc>
        <w:tc>
          <w:tcPr>
            <w:tcW w:w="5670" w:type="dxa"/>
            <w:tcBorders>
              <w:bottom w:val="single" w:sz="4" w:space="0" w:color="auto"/>
            </w:tcBorders>
            <w:shd w:val="clear" w:color="auto" w:fill="auto"/>
          </w:tcPr>
          <w:p w14:paraId="01CF7385" w14:textId="6B14C0D7" w:rsidR="00472715" w:rsidRPr="00520C23" w:rsidRDefault="00472715" w:rsidP="00472715">
            <w:pPr>
              <w:spacing w:before="120"/>
              <w:rPr>
                <w:rFonts w:cstheme="minorHAnsi"/>
              </w:rPr>
            </w:pPr>
            <w:r w:rsidRPr="00520C23">
              <w:rPr>
                <w:rFonts w:cstheme="minorHAnsi"/>
                <w:b/>
                <w:i/>
                <w:iCs/>
              </w:rPr>
              <w:t>Water Amendment Bill 2019</w:t>
            </w:r>
            <w:r w:rsidRPr="00520C23">
              <w:rPr>
                <w:rFonts w:cstheme="minorHAnsi"/>
              </w:rPr>
              <w:t xml:space="preserve"> inserted a prohibition on the pollution of water by “hydraulic fracturing waste” into the </w:t>
            </w:r>
            <w:r w:rsidRPr="00520C23">
              <w:rPr>
                <w:rFonts w:cstheme="minorHAnsi"/>
                <w:i/>
                <w:iCs/>
              </w:rPr>
              <w:t xml:space="preserve">Water Act </w:t>
            </w:r>
            <w:r w:rsidRPr="00520C23">
              <w:rPr>
                <w:rFonts w:cstheme="minorHAnsi"/>
              </w:rPr>
              <w:t>(section 17A).</w:t>
            </w:r>
          </w:p>
          <w:p w14:paraId="110AAD85" w14:textId="77777777" w:rsidR="00472715" w:rsidRPr="00520C23" w:rsidRDefault="00472715" w:rsidP="00472715">
            <w:pPr>
              <w:spacing w:before="120"/>
              <w:rPr>
                <w:rFonts w:cstheme="minorHAnsi"/>
              </w:rPr>
            </w:pPr>
            <w:r w:rsidRPr="00520C23">
              <w:rPr>
                <w:rFonts w:cstheme="minorHAnsi"/>
              </w:rPr>
              <w:t>However, Section 17B states:</w:t>
            </w:r>
          </w:p>
          <w:p w14:paraId="2D07C710" w14:textId="0C94AB2B" w:rsidR="00472715" w:rsidRPr="00520C23" w:rsidRDefault="00472715" w:rsidP="00472715">
            <w:pPr>
              <w:spacing w:before="120"/>
              <w:rPr>
                <w:rFonts w:cstheme="minorHAnsi"/>
              </w:rPr>
            </w:pPr>
            <w:r w:rsidRPr="00520C23">
              <w:rPr>
                <w:rFonts w:cstheme="minorHAnsi"/>
              </w:rPr>
              <w:t xml:space="preserve">(1) Section 17A does not apply if: </w:t>
            </w:r>
          </w:p>
          <w:p w14:paraId="1E6C85BF" w14:textId="77777777" w:rsidR="00472715" w:rsidRPr="00520C23" w:rsidRDefault="00472715" w:rsidP="00472715">
            <w:pPr>
              <w:spacing w:before="120"/>
              <w:ind w:left="720"/>
              <w:rPr>
                <w:rFonts w:cstheme="minorHAnsi"/>
              </w:rPr>
            </w:pPr>
            <w:r w:rsidRPr="00520C23">
              <w:rPr>
                <w:rFonts w:cstheme="minorHAnsi"/>
              </w:rPr>
              <w:t xml:space="preserve">(a) hydraulic fracturing waste is produced water or flowback fluid; and </w:t>
            </w:r>
          </w:p>
          <w:p w14:paraId="4453B2D0" w14:textId="77777777" w:rsidR="00472715" w:rsidRPr="00520C23" w:rsidRDefault="00472715" w:rsidP="00472715">
            <w:pPr>
              <w:spacing w:before="120"/>
              <w:ind w:left="720"/>
              <w:rPr>
                <w:rFonts w:cstheme="minorHAnsi"/>
              </w:rPr>
            </w:pPr>
            <w:r w:rsidRPr="00520C23">
              <w:rPr>
                <w:rFonts w:cstheme="minorHAnsi"/>
              </w:rPr>
              <w:t xml:space="preserve">(b) the hydraulic fracturing waste comes into contact with water that is contained in the geological formation being targeted by the process of hydraulic fracturing. </w:t>
            </w:r>
          </w:p>
          <w:p w14:paraId="59FF9D28" w14:textId="77777777" w:rsidR="00472715" w:rsidRPr="00520C23" w:rsidRDefault="00472715" w:rsidP="00472715">
            <w:pPr>
              <w:spacing w:before="120"/>
              <w:rPr>
                <w:rFonts w:cstheme="minorHAnsi"/>
              </w:rPr>
            </w:pPr>
            <w:r w:rsidRPr="00520C23">
              <w:rPr>
                <w:rFonts w:cstheme="minorHAnsi"/>
              </w:rPr>
              <w:t xml:space="preserve">(2) In this section: </w:t>
            </w:r>
          </w:p>
          <w:p w14:paraId="3E3CE38B" w14:textId="77777777" w:rsidR="00472715" w:rsidRPr="00520C23" w:rsidRDefault="00472715" w:rsidP="00472715">
            <w:pPr>
              <w:spacing w:before="120"/>
              <w:rPr>
                <w:rFonts w:cstheme="minorHAnsi"/>
              </w:rPr>
            </w:pPr>
            <w:r w:rsidRPr="00520C23">
              <w:rPr>
                <w:rFonts w:cstheme="minorHAnsi"/>
                <w:b/>
                <w:bCs/>
                <w:i/>
                <w:iCs/>
              </w:rPr>
              <w:t xml:space="preserve">flowback fluid </w:t>
            </w:r>
            <w:r w:rsidRPr="00520C23">
              <w:rPr>
                <w:rFonts w:cstheme="minorHAnsi"/>
              </w:rPr>
              <w:t xml:space="preserve">means fluid that is a mixture of hydraulic fracturing fluid and formation fluid that is allowed to flow from the well following hydraulic fracturing. </w:t>
            </w:r>
          </w:p>
          <w:p w14:paraId="13C25EC3" w14:textId="40F2276F" w:rsidR="00472715" w:rsidRPr="00520C23" w:rsidRDefault="00472715" w:rsidP="00472715">
            <w:pPr>
              <w:spacing w:before="120"/>
              <w:rPr>
                <w:rFonts w:cstheme="minorHAnsi"/>
              </w:rPr>
            </w:pPr>
            <w:r w:rsidRPr="00520C23">
              <w:rPr>
                <w:rFonts w:cstheme="minorHAnsi"/>
                <w:b/>
                <w:bCs/>
                <w:i/>
                <w:iCs/>
              </w:rPr>
              <w:t xml:space="preserve">produced water </w:t>
            </w:r>
            <w:r w:rsidRPr="00520C23">
              <w:rPr>
                <w:rFonts w:cstheme="minorHAnsi"/>
              </w:rPr>
              <w:t>means naturally occurring water that is extracted from a geological formation following hydraulic fracturing.</w:t>
            </w:r>
          </w:p>
        </w:tc>
        <w:tc>
          <w:tcPr>
            <w:tcW w:w="5310" w:type="dxa"/>
            <w:tcBorders>
              <w:bottom w:val="single" w:sz="4" w:space="0" w:color="auto"/>
            </w:tcBorders>
            <w:shd w:val="clear" w:color="auto" w:fill="FFF2CC" w:themeFill="accent4" w:themeFillTint="33"/>
          </w:tcPr>
          <w:p w14:paraId="038733FF" w14:textId="4770B0E6" w:rsidR="00472715" w:rsidRPr="00520C23" w:rsidRDefault="00472715" w:rsidP="00472715">
            <w:pPr>
              <w:spacing w:before="120"/>
              <w:rPr>
                <w:rFonts w:cstheme="minorHAnsi"/>
              </w:rPr>
            </w:pPr>
            <w:r w:rsidRPr="00520C23">
              <w:rPr>
                <w:rFonts w:cstheme="minorHAnsi"/>
              </w:rPr>
              <w:t xml:space="preserve">The </w:t>
            </w:r>
            <w:r w:rsidRPr="00520C23">
              <w:rPr>
                <w:rFonts w:cstheme="minorHAnsi"/>
                <w:i/>
                <w:iCs/>
              </w:rPr>
              <w:t xml:space="preserve">Water Act 1992 </w:t>
            </w:r>
            <w:r w:rsidRPr="00520C23">
              <w:rPr>
                <w:rFonts w:cstheme="minorHAnsi"/>
              </w:rPr>
              <w:t xml:space="preserve">amendments largely address recommendation 7.17. </w:t>
            </w:r>
          </w:p>
          <w:p w14:paraId="6D592CE5" w14:textId="39D64B54" w:rsidR="00472715" w:rsidRPr="00520C23" w:rsidRDefault="00472715" w:rsidP="00472715">
            <w:pPr>
              <w:spacing w:before="120"/>
              <w:rPr>
                <w:rFonts w:cstheme="minorHAnsi"/>
                <w:i/>
                <w:iCs/>
                <w:u w:val="single"/>
              </w:rPr>
            </w:pPr>
            <w:r w:rsidRPr="00520C23">
              <w:rPr>
                <w:rFonts w:cstheme="minorHAnsi"/>
                <w:i/>
                <w:iCs/>
                <w:u w:val="single"/>
              </w:rPr>
              <w:t>Comments</w:t>
            </w:r>
          </w:p>
          <w:p w14:paraId="51B71C5C" w14:textId="7921DA6F" w:rsidR="00472715" w:rsidRPr="00520C23" w:rsidRDefault="00472715" w:rsidP="00472715">
            <w:pPr>
              <w:pStyle w:val="ListParagraph"/>
              <w:numPr>
                <w:ilvl w:val="0"/>
                <w:numId w:val="10"/>
              </w:numPr>
              <w:spacing w:before="120"/>
              <w:rPr>
                <w:rFonts w:cstheme="minorHAnsi"/>
              </w:rPr>
            </w:pPr>
            <w:r w:rsidRPr="00520C23">
              <w:rPr>
                <w:rFonts w:cstheme="minorHAnsi"/>
              </w:rPr>
              <w:t xml:space="preserve">There is no specific mention in the </w:t>
            </w:r>
            <w:r w:rsidRPr="00520C23">
              <w:rPr>
                <w:rFonts w:cstheme="minorHAnsi"/>
                <w:i/>
                <w:iCs/>
              </w:rPr>
              <w:t>Water Act</w:t>
            </w:r>
            <w:r w:rsidRPr="00520C23">
              <w:rPr>
                <w:rFonts w:cstheme="minorHAnsi"/>
              </w:rPr>
              <w:t xml:space="preserve"> about whether treated wastewater is also considered wastewater that cannot come into contact with other water bodies. </w:t>
            </w:r>
          </w:p>
        </w:tc>
      </w:tr>
      <w:tr w:rsidR="00EA3C33" w:rsidRPr="00520C23" w14:paraId="57DF2042" w14:textId="77777777" w:rsidTr="00EA3C33">
        <w:tc>
          <w:tcPr>
            <w:tcW w:w="846" w:type="dxa"/>
            <w:shd w:val="clear" w:color="auto" w:fill="auto"/>
          </w:tcPr>
          <w:p w14:paraId="7CFC41C4" w14:textId="7070F068" w:rsidR="00472715" w:rsidRPr="00520C23" w:rsidRDefault="00472715" w:rsidP="00472715">
            <w:pPr>
              <w:spacing w:before="120"/>
              <w:jc w:val="center"/>
              <w:rPr>
                <w:rFonts w:cstheme="minorHAnsi"/>
              </w:rPr>
            </w:pPr>
            <w:r w:rsidRPr="00520C23">
              <w:rPr>
                <w:rFonts w:cstheme="minorHAnsi"/>
              </w:rPr>
              <w:t>7.18</w:t>
            </w:r>
          </w:p>
        </w:tc>
        <w:tc>
          <w:tcPr>
            <w:tcW w:w="4819" w:type="dxa"/>
            <w:shd w:val="clear" w:color="auto" w:fill="auto"/>
          </w:tcPr>
          <w:p w14:paraId="66E786FD" w14:textId="77777777" w:rsidR="00472715" w:rsidRPr="00520C23" w:rsidRDefault="00472715" w:rsidP="00472715">
            <w:pPr>
              <w:spacing w:before="120"/>
              <w:rPr>
                <w:rFonts w:cstheme="minorHAnsi"/>
                <w:i/>
                <w:iCs/>
              </w:rPr>
            </w:pPr>
            <w:r w:rsidRPr="00520C23">
              <w:rPr>
                <w:rFonts w:cstheme="minorHAnsi"/>
                <w:i/>
                <w:iCs/>
              </w:rPr>
              <w:t>That to minimise the adverse impacts of any onshore shale gas infrastructure (roads and pipelines) on the flow and quality of surface waters, the Government must ensure that:</w:t>
            </w:r>
          </w:p>
          <w:p w14:paraId="5B328CDF" w14:textId="77777777" w:rsidR="00472715" w:rsidRPr="00520C23" w:rsidRDefault="00472715" w:rsidP="00472715">
            <w:pPr>
              <w:numPr>
                <w:ilvl w:val="0"/>
                <w:numId w:val="34"/>
              </w:numPr>
              <w:spacing w:before="120"/>
              <w:rPr>
                <w:rFonts w:cstheme="minorHAnsi"/>
                <w:i/>
                <w:iCs/>
              </w:rPr>
            </w:pPr>
            <w:r w:rsidRPr="00520C23">
              <w:rPr>
                <w:rFonts w:cstheme="minorHAnsi"/>
                <w:i/>
                <w:iCs/>
              </w:rPr>
              <w:lastRenderedPageBreak/>
              <w:t>landscape or regional impacts are considered in the design and planning phase of development to avoid unforeseen consequences arising from the incremental (piecemeal) rollout of linear infrastructure; and</w:t>
            </w:r>
          </w:p>
          <w:p w14:paraId="3D53359B" w14:textId="77777777" w:rsidR="00472715" w:rsidRPr="00520C23" w:rsidRDefault="00472715" w:rsidP="00472715">
            <w:pPr>
              <w:numPr>
                <w:ilvl w:val="0"/>
                <w:numId w:val="34"/>
              </w:numPr>
              <w:spacing w:before="120"/>
              <w:rPr>
                <w:rFonts w:cstheme="minorHAnsi"/>
                <w:i/>
                <w:iCs/>
              </w:rPr>
            </w:pPr>
            <w:r w:rsidRPr="00520C23">
              <w:rPr>
                <w:rFonts w:cstheme="minorHAnsi"/>
                <w:i/>
                <w:iCs/>
              </w:rPr>
              <w:t>roads and pipeline corridors must be constructed to:</w:t>
            </w:r>
          </w:p>
          <w:p w14:paraId="3C3C590B" w14:textId="77777777" w:rsidR="00472715" w:rsidRPr="00520C23" w:rsidRDefault="00472715" w:rsidP="00472715">
            <w:pPr>
              <w:numPr>
                <w:ilvl w:val="1"/>
                <w:numId w:val="34"/>
              </w:numPr>
              <w:spacing w:before="120"/>
              <w:rPr>
                <w:rFonts w:cstheme="minorHAnsi"/>
                <w:i/>
                <w:iCs/>
              </w:rPr>
            </w:pPr>
            <w:r w:rsidRPr="00520C23">
              <w:rPr>
                <w:rFonts w:cstheme="minorHAnsi"/>
                <w:i/>
                <w:iCs/>
              </w:rPr>
              <w:t>minimise the interference with wet season surface water flow paths;</w:t>
            </w:r>
          </w:p>
          <w:p w14:paraId="7230DDC0" w14:textId="77777777" w:rsidR="00472715" w:rsidRPr="00520C23" w:rsidRDefault="00472715" w:rsidP="00472715">
            <w:pPr>
              <w:numPr>
                <w:ilvl w:val="1"/>
                <w:numId w:val="34"/>
              </w:numPr>
              <w:spacing w:before="120"/>
              <w:rPr>
                <w:rFonts w:cstheme="minorHAnsi"/>
                <w:i/>
                <w:iCs/>
              </w:rPr>
            </w:pPr>
            <w:r w:rsidRPr="00520C23">
              <w:rPr>
                <w:rFonts w:cstheme="minorHAnsi"/>
                <w:i/>
                <w:iCs/>
              </w:rPr>
              <w:t>minimise erosion of exposed (road) surfaces and drains;</w:t>
            </w:r>
          </w:p>
          <w:p w14:paraId="57B7F806" w14:textId="77777777" w:rsidR="00472715" w:rsidRPr="00520C23" w:rsidRDefault="00472715" w:rsidP="00472715">
            <w:pPr>
              <w:numPr>
                <w:ilvl w:val="1"/>
                <w:numId w:val="34"/>
              </w:numPr>
              <w:spacing w:before="120"/>
              <w:rPr>
                <w:rFonts w:cstheme="minorHAnsi"/>
                <w:i/>
                <w:iCs/>
              </w:rPr>
            </w:pPr>
            <w:r w:rsidRPr="00520C23">
              <w:rPr>
                <w:rFonts w:cstheme="minorHAnsi"/>
                <w:i/>
                <w:iCs/>
              </w:rPr>
              <w:t>ensure fauna passage at all stream crossings; and</w:t>
            </w:r>
          </w:p>
          <w:p w14:paraId="7473E6C0" w14:textId="4C396E1F" w:rsidR="00472715" w:rsidRPr="00520C23" w:rsidRDefault="00472715" w:rsidP="00472715">
            <w:pPr>
              <w:numPr>
                <w:ilvl w:val="1"/>
                <w:numId w:val="34"/>
              </w:numPr>
              <w:spacing w:before="120"/>
              <w:rPr>
                <w:rFonts w:cstheme="minorHAnsi"/>
                <w:i/>
                <w:iCs/>
              </w:rPr>
            </w:pPr>
            <w:r w:rsidRPr="00520C23">
              <w:rPr>
                <w:rFonts w:cstheme="minorHAnsi"/>
                <w:i/>
                <w:iCs/>
              </w:rPr>
              <w:t>comply with relevant guidelines such as the International Erosion Control Association Best Practice for Erosion and Sediment Control and the Australian Pipeline Industry Association Code of Environmental Practice 2009.</w:t>
            </w:r>
          </w:p>
        </w:tc>
        <w:tc>
          <w:tcPr>
            <w:tcW w:w="5760" w:type="dxa"/>
            <w:shd w:val="clear" w:color="auto" w:fill="auto"/>
          </w:tcPr>
          <w:p w14:paraId="1D6838FB" w14:textId="2A1D24D1" w:rsidR="00472715" w:rsidRPr="00520C23" w:rsidRDefault="00472715" w:rsidP="00472715">
            <w:pPr>
              <w:spacing w:before="120"/>
              <w:rPr>
                <w:rFonts w:cstheme="minorHAnsi"/>
                <w:bCs/>
              </w:rPr>
            </w:pPr>
            <w:r w:rsidRPr="00520C23">
              <w:rPr>
                <w:rFonts w:cstheme="minorHAnsi"/>
                <w:bCs/>
              </w:rPr>
              <w:lastRenderedPageBreak/>
              <w:t>The Northern Territory Government has worked with independent scientific experts to develop a Code of Practice relative to the Inquiry's recommendation. The Code is legally enforceable through the Petroleum (Environment) Regulations 2016. The finalised </w:t>
            </w:r>
            <w:hyperlink r:id="rId36"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1BA28705" w14:textId="0CD66D84" w:rsidR="00472715" w:rsidRPr="00520C23" w:rsidRDefault="00472715" w:rsidP="00472715">
            <w:pPr>
              <w:spacing w:before="120"/>
              <w:rPr>
                <w:rFonts w:cstheme="minorHAnsi"/>
                <w:b/>
                <w:bCs/>
              </w:rPr>
            </w:pPr>
            <w:r w:rsidRPr="00520C23">
              <w:rPr>
                <w:rFonts w:cstheme="minorHAnsi"/>
                <w:b/>
                <w:bCs/>
              </w:rPr>
              <w:t>Code of Practice</w:t>
            </w:r>
          </w:p>
          <w:p w14:paraId="6B8376D2" w14:textId="493F4763" w:rsidR="00472715" w:rsidRPr="00520C23" w:rsidRDefault="00472715" w:rsidP="00472715">
            <w:pPr>
              <w:spacing w:before="120"/>
              <w:rPr>
                <w:rFonts w:cstheme="minorHAnsi"/>
                <w:u w:val="single"/>
              </w:rPr>
            </w:pPr>
            <w:r w:rsidRPr="00520C23">
              <w:rPr>
                <w:rFonts w:cstheme="minorHAnsi"/>
                <w:u w:val="single"/>
              </w:rPr>
              <w:t>A.3.4 Erosion and sediment control and hydrology</w:t>
            </w:r>
          </w:p>
          <w:p w14:paraId="2D72572B" w14:textId="77777777" w:rsidR="00472715" w:rsidRPr="00520C23" w:rsidRDefault="00472715" w:rsidP="00472715">
            <w:pPr>
              <w:spacing w:before="120"/>
              <w:rPr>
                <w:rFonts w:cstheme="minorHAnsi"/>
                <w:bCs/>
                <w:i/>
                <w:iCs/>
              </w:rPr>
            </w:pPr>
            <w:r w:rsidRPr="00520C23">
              <w:rPr>
                <w:rFonts w:cstheme="minorHAnsi"/>
                <w:bCs/>
                <w:i/>
                <w:iCs/>
              </w:rPr>
              <w:t xml:space="preserve">(d) Road and pipeline corridor designs must: </w:t>
            </w:r>
          </w:p>
          <w:p w14:paraId="1686D049" w14:textId="77777777" w:rsidR="00472715" w:rsidRPr="00520C23" w:rsidRDefault="00472715" w:rsidP="00472715">
            <w:pPr>
              <w:spacing w:before="120"/>
              <w:rPr>
                <w:rFonts w:cstheme="minorHAnsi"/>
                <w:bCs/>
                <w:i/>
                <w:iCs/>
              </w:rPr>
            </w:pPr>
            <w:r w:rsidRPr="00520C23">
              <w:rPr>
                <w:rFonts w:cstheme="minorHAnsi"/>
                <w:bCs/>
                <w:i/>
                <w:iCs/>
              </w:rPr>
              <w:t xml:space="preserve">i. minimise erosion of exposed road surfaces and drains; </w:t>
            </w:r>
          </w:p>
          <w:p w14:paraId="4CF134D2" w14:textId="77777777" w:rsidR="00472715" w:rsidRPr="00520C23" w:rsidRDefault="00472715" w:rsidP="00472715">
            <w:pPr>
              <w:spacing w:before="120"/>
              <w:rPr>
                <w:rFonts w:cstheme="minorHAnsi"/>
                <w:bCs/>
                <w:i/>
                <w:iCs/>
              </w:rPr>
            </w:pPr>
            <w:r w:rsidRPr="00520C23">
              <w:rPr>
                <w:rFonts w:cstheme="minorHAnsi"/>
                <w:bCs/>
                <w:i/>
                <w:iCs/>
              </w:rPr>
              <w:lastRenderedPageBreak/>
              <w:t xml:space="preserve">ii. ensure that roads and pipeline surface water flow paths minimise erosion of all exposed surfaces and drains; </w:t>
            </w:r>
          </w:p>
          <w:p w14:paraId="5C842DE2" w14:textId="77777777" w:rsidR="00472715" w:rsidRPr="00520C23" w:rsidRDefault="00472715" w:rsidP="00472715">
            <w:pPr>
              <w:spacing w:before="120"/>
              <w:rPr>
                <w:rFonts w:cstheme="minorHAnsi"/>
                <w:bCs/>
                <w:i/>
                <w:iCs/>
              </w:rPr>
            </w:pPr>
            <w:r w:rsidRPr="00520C23">
              <w:rPr>
                <w:rFonts w:cstheme="minorHAnsi"/>
                <w:bCs/>
                <w:i/>
                <w:iCs/>
              </w:rPr>
              <w:t xml:space="preserve">iii. comply with relevant guidelines such as the International Erosion Control Association Best Practice for Erosion and Sediment Control (2008), IECA Appendix P: Land Based Pipeline Construction December 2015 (Addendum to IECA 2008) and the Australian Pipeline Industry Association Code of Environmental Practice for Onshore Pipelines 2017. </w:t>
            </w:r>
          </w:p>
          <w:p w14:paraId="1D408448" w14:textId="77777777" w:rsidR="00472715" w:rsidRPr="00520C23" w:rsidRDefault="00472715" w:rsidP="00472715">
            <w:pPr>
              <w:spacing w:before="120"/>
              <w:rPr>
                <w:rFonts w:cstheme="minorHAnsi"/>
                <w:bCs/>
                <w:i/>
                <w:iCs/>
              </w:rPr>
            </w:pPr>
            <w:r w:rsidRPr="00520C23">
              <w:rPr>
                <w:rFonts w:cstheme="minorHAnsi"/>
                <w:bCs/>
                <w:i/>
                <w:iCs/>
              </w:rPr>
              <w:t xml:space="preserve">(e) The requirements of the Land Clearing Guidelines as published on the DENR website and amended from time to time must be complied with in relation to protection of natural waterways as a result of land disturbance and ensure the following: </w:t>
            </w:r>
          </w:p>
          <w:p w14:paraId="4F1F87A9" w14:textId="77777777" w:rsidR="00472715" w:rsidRPr="00520C23" w:rsidRDefault="00472715" w:rsidP="00472715">
            <w:pPr>
              <w:spacing w:before="120"/>
              <w:rPr>
                <w:rFonts w:cstheme="minorHAnsi"/>
                <w:bCs/>
                <w:i/>
                <w:iCs/>
              </w:rPr>
            </w:pPr>
            <w:r w:rsidRPr="00520C23">
              <w:rPr>
                <w:rFonts w:cstheme="minorHAnsi"/>
                <w:bCs/>
                <w:i/>
                <w:iCs/>
              </w:rPr>
              <w:t xml:space="preserve">i. appropriate buffers are implemented around natural waterways; </w:t>
            </w:r>
          </w:p>
          <w:p w14:paraId="07A43F81" w14:textId="77777777" w:rsidR="00472715" w:rsidRPr="00520C23" w:rsidRDefault="00472715" w:rsidP="00472715">
            <w:pPr>
              <w:spacing w:before="120"/>
              <w:rPr>
                <w:rFonts w:cstheme="minorHAnsi"/>
                <w:bCs/>
                <w:i/>
                <w:iCs/>
              </w:rPr>
            </w:pPr>
            <w:r w:rsidRPr="00520C23">
              <w:rPr>
                <w:rFonts w:cstheme="minorHAnsi"/>
                <w:bCs/>
                <w:i/>
                <w:iCs/>
              </w:rPr>
              <w:t xml:space="preserve">ii. disturbance in the wet season is minimised; </w:t>
            </w:r>
          </w:p>
          <w:p w14:paraId="4324FAED" w14:textId="56249737" w:rsidR="00472715" w:rsidRPr="00520C23" w:rsidRDefault="00472715" w:rsidP="00472715">
            <w:pPr>
              <w:spacing w:before="120"/>
              <w:rPr>
                <w:rFonts w:cstheme="minorHAnsi"/>
                <w:bCs/>
                <w:i/>
                <w:iCs/>
              </w:rPr>
            </w:pPr>
            <w:r w:rsidRPr="00520C23">
              <w:rPr>
                <w:rFonts w:cstheme="minorHAnsi"/>
                <w:bCs/>
                <w:i/>
                <w:iCs/>
              </w:rPr>
              <w:t>iii. the number of crossing points is minimi</w:t>
            </w:r>
            <w:r w:rsidR="00F37E5D">
              <w:rPr>
                <w:rFonts w:cstheme="minorHAnsi"/>
                <w:bCs/>
                <w:i/>
                <w:iCs/>
              </w:rPr>
              <w:t>s</w:t>
            </w:r>
            <w:r w:rsidRPr="00520C23">
              <w:rPr>
                <w:rFonts w:cstheme="minorHAnsi"/>
                <w:bCs/>
                <w:i/>
                <w:iCs/>
              </w:rPr>
              <w:t>ed;</w:t>
            </w:r>
          </w:p>
          <w:p w14:paraId="5AF641F6" w14:textId="0B82E78E" w:rsidR="00472715" w:rsidRPr="00520C23" w:rsidRDefault="00472715" w:rsidP="00472715">
            <w:pPr>
              <w:spacing w:before="120"/>
              <w:rPr>
                <w:rFonts w:cstheme="minorHAnsi"/>
                <w:bCs/>
                <w:u w:val="single"/>
              </w:rPr>
            </w:pPr>
            <w:r w:rsidRPr="00520C23">
              <w:rPr>
                <w:rFonts w:cstheme="minorHAnsi"/>
                <w:bCs/>
                <w:i/>
                <w:iCs/>
              </w:rPr>
              <w:t>iv. crossings are constructed as close as practicable to right angles to the waterway…</w:t>
            </w:r>
          </w:p>
          <w:p w14:paraId="5D4BCB17" w14:textId="0C20A212" w:rsidR="00472715" w:rsidRPr="00520C23" w:rsidRDefault="00472715" w:rsidP="00472715">
            <w:pPr>
              <w:spacing w:before="120"/>
              <w:rPr>
                <w:rFonts w:cstheme="minorHAnsi"/>
                <w:bCs/>
                <w:u w:val="single"/>
              </w:rPr>
            </w:pPr>
            <w:r w:rsidRPr="00520C23">
              <w:rPr>
                <w:rFonts w:cstheme="minorHAnsi"/>
                <w:bCs/>
                <w:u w:val="single"/>
              </w:rPr>
              <w:t xml:space="preserve">A.3.5 Biodiversity protection </w:t>
            </w:r>
          </w:p>
          <w:p w14:paraId="425EB7F2" w14:textId="4FA1F7C5" w:rsidR="00472715" w:rsidRPr="00520C23" w:rsidRDefault="00472715" w:rsidP="00472715">
            <w:pPr>
              <w:spacing w:before="120"/>
              <w:rPr>
                <w:rFonts w:cstheme="minorHAnsi"/>
                <w:bCs/>
                <w:i/>
                <w:iCs/>
              </w:rPr>
            </w:pPr>
            <w:r w:rsidRPr="00520C23">
              <w:rPr>
                <w:rFonts w:cstheme="minorHAnsi"/>
                <w:bCs/>
                <w:i/>
                <w:iCs/>
              </w:rPr>
              <w:t>…</w:t>
            </w:r>
            <w:r w:rsidRPr="00520C23">
              <w:rPr>
                <w:rFonts w:cstheme="minorHAnsi"/>
                <w:b/>
                <w:i/>
                <w:iCs/>
              </w:rPr>
              <w:t xml:space="preserve"> </w:t>
            </w:r>
            <w:r w:rsidRPr="00520C23">
              <w:rPr>
                <w:rFonts w:cstheme="minorHAnsi"/>
                <w:bCs/>
                <w:i/>
                <w:iCs/>
              </w:rPr>
              <w:t xml:space="preserve">(b) All infrastructure stream crossings must provide for appropriate fauna passage; </w:t>
            </w:r>
          </w:p>
        </w:tc>
        <w:tc>
          <w:tcPr>
            <w:tcW w:w="5310" w:type="dxa"/>
            <w:shd w:val="clear" w:color="auto" w:fill="FED6D6"/>
          </w:tcPr>
          <w:p w14:paraId="1D8498E8" w14:textId="2DD7CB9E" w:rsidR="00472715" w:rsidRPr="00520C23" w:rsidRDefault="00472715" w:rsidP="00472715">
            <w:pPr>
              <w:spacing w:before="120"/>
              <w:rPr>
                <w:rFonts w:cstheme="minorHAnsi"/>
              </w:rPr>
            </w:pPr>
            <w:r w:rsidRPr="00520C23">
              <w:rPr>
                <w:rFonts w:cstheme="minorHAnsi"/>
              </w:rPr>
              <w:lastRenderedPageBreak/>
              <w:t>The Code does not adequately address recommendation 7.18.</w:t>
            </w:r>
          </w:p>
          <w:p w14:paraId="192671E4" w14:textId="2B9EC01F" w:rsidR="00472715" w:rsidRPr="00520C23" w:rsidRDefault="00472715" w:rsidP="00472715">
            <w:pPr>
              <w:spacing w:before="120"/>
              <w:rPr>
                <w:rFonts w:cstheme="minorHAnsi"/>
                <w:i/>
                <w:iCs/>
                <w:u w:val="single"/>
              </w:rPr>
            </w:pPr>
            <w:r w:rsidRPr="00520C23">
              <w:rPr>
                <w:rFonts w:cstheme="minorHAnsi"/>
                <w:i/>
                <w:iCs/>
                <w:u w:val="single"/>
              </w:rPr>
              <w:t>Comments</w:t>
            </w:r>
          </w:p>
          <w:p w14:paraId="1D00AD77" w14:textId="27DBD4DB" w:rsidR="00472715" w:rsidRPr="00520C23" w:rsidRDefault="00472715" w:rsidP="00472715">
            <w:pPr>
              <w:pStyle w:val="ListParagraph"/>
              <w:numPr>
                <w:ilvl w:val="0"/>
                <w:numId w:val="34"/>
              </w:numPr>
              <w:spacing w:before="120"/>
              <w:rPr>
                <w:rFonts w:cstheme="minorHAnsi"/>
              </w:rPr>
            </w:pPr>
            <w:r w:rsidRPr="00520C23">
              <w:rPr>
                <w:rFonts w:cstheme="minorHAnsi"/>
              </w:rPr>
              <w:t xml:space="preserve">The first part of the recommendation does not appear to be met, that is, there does not appear </w:t>
            </w:r>
            <w:r w:rsidRPr="00520C23">
              <w:rPr>
                <w:rFonts w:cstheme="minorHAnsi"/>
              </w:rPr>
              <w:lastRenderedPageBreak/>
              <w:t xml:space="preserve">to be a basin-wide planning study that assesses and plans for landscape scale development to avoid the larger cumulative impacts of piecemeal infrastructure additions.   </w:t>
            </w:r>
          </w:p>
          <w:p w14:paraId="46C392AF" w14:textId="2B4FFEC1" w:rsidR="00472715" w:rsidRPr="00520C23" w:rsidRDefault="00472715" w:rsidP="00472715">
            <w:pPr>
              <w:spacing w:before="120"/>
              <w:rPr>
                <w:rFonts w:cstheme="minorHAnsi"/>
              </w:rPr>
            </w:pPr>
          </w:p>
        </w:tc>
      </w:tr>
      <w:tr w:rsidR="00EA3C33" w:rsidRPr="00520C23" w14:paraId="35DEFFA0" w14:textId="041428A1" w:rsidTr="00EA3C33">
        <w:tc>
          <w:tcPr>
            <w:tcW w:w="846" w:type="dxa"/>
            <w:shd w:val="clear" w:color="auto" w:fill="auto"/>
          </w:tcPr>
          <w:p w14:paraId="6BBABED4" w14:textId="77777777" w:rsidR="00472715" w:rsidRPr="00520C23" w:rsidRDefault="00472715" w:rsidP="00472715">
            <w:pPr>
              <w:spacing w:before="120"/>
              <w:jc w:val="center"/>
              <w:rPr>
                <w:rFonts w:cstheme="minorHAnsi"/>
              </w:rPr>
            </w:pPr>
            <w:r w:rsidRPr="00520C23">
              <w:rPr>
                <w:rFonts w:cstheme="minorHAnsi"/>
              </w:rPr>
              <w:lastRenderedPageBreak/>
              <w:t>8.2</w:t>
            </w:r>
          </w:p>
        </w:tc>
        <w:tc>
          <w:tcPr>
            <w:tcW w:w="4819" w:type="dxa"/>
            <w:shd w:val="clear" w:color="auto" w:fill="auto"/>
          </w:tcPr>
          <w:p w14:paraId="294ACE74" w14:textId="0631F45E" w:rsidR="00472715" w:rsidRPr="00520C23" w:rsidRDefault="00472715" w:rsidP="00472715">
            <w:pPr>
              <w:spacing w:before="120"/>
              <w:rPr>
                <w:rFonts w:cstheme="minorHAnsi"/>
                <w:i/>
                <w:iCs/>
              </w:rPr>
            </w:pPr>
            <w:r w:rsidRPr="00520C23">
              <w:rPr>
                <w:rFonts w:cstheme="minorHAnsi"/>
                <w:i/>
                <w:iCs/>
              </w:rPr>
              <w:t xml:space="preserve">That a baseline weed assessment be conducted over all areas that will be accessed by a gas company on an exploration permit prior to any exploration activities being carried out on that area and that ongoing weed monitoring be undertaken to inform any weed management measures necessary to ensure no incursions or spread of weeds. </w:t>
            </w:r>
          </w:p>
        </w:tc>
        <w:tc>
          <w:tcPr>
            <w:tcW w:w="5760" w:type="dxa"/>
            <w:shd w:val="clear" w:color="auto" w:fill="auto"/>
          </w:tcPr>
          <w:p w14:paraId="3E9967E7" w14:textId="77777777" w:rsidR="00472715" w:rsidRPr="00520C23" w:rsidRDefault="00472715" w:rsidP="00472715">
            <w:pPr>
              <w:spacing w:before="120"/>
            </w:pPr>
            <w:r w:rsidRPr="00520C23">
              <w:t>The Department of Environment, Parks and Water Security will continue working with holders of existing Exploration Permits in the Beetaloo Sub-basin to accurately identify locations of exploration and undertake weed surveys in those areas.</w:t>
            </w:r>
          </w:p>
          <w:p w14:paraId="1E33ECF3" w14:textId="77777777" w:rsidR="00472715" w:rsidRPr="00520C23" w:rsidRDefault="00472715" w:rsidP="00472715">
            <w:pPr>
              <w:spacing w:before="120"/>
            </w:pPr>
            <w:r w:rsidRPr="00520C23">
              <w:t>A requirement for ongoing weed monitoring and management to prevent new incursions or spread of weeds has been incorporated into the Code of Practice and includes mandatory weed management requirements to be included in Environment Management Plans enforced under the Petroleum (Environment) Regulations 2016. Specific guidance regarding baseline weed assessments provided within the Weed Management Plan Guideline which is available on DEPWS’s website along with the Code of Practice.</w:t>
            </w:r>
          </w:p>
          <w:p w14:paraId="70D0DD8B" w14:textId="34014B59" w:rsidR="00472715" w:rsidRPr="00520C23" w:rsidRDefault="00472715" w:rsidP="00472715">
            <w:pPr>
              <w:spacing w:before="120"/>
              <w:rPr>
                <w:i/>
                <w:iCs/>
              </w:rPr>
            </w:pPr>
            <w:r w:rsidRPr="00520C23">
              <w:t>Baseline assessments for new areas will be required prior to activities commencing in these areas.</w:t>
            </w:r>
          </w:p>
        </w:tc>
        <w:tc>
          <w:tcPr>
            <w:tcW w:w="5670" w:type="dxa"/>
            <w:shd w:val="clear" w:color="auto" w:fill="auto"/>
          </w:tcPr>
          <w:p w14:paraId="2AE25C03" w14:textId="3773CECA" w:rsidR="00472715" w:rsidRPr="00520C23" w:rsidRDefault="00472715" w:rsidP="00472715">
            <w:pPr>
              <w:spacing w:before="120"/>
              <w:rPr>
                <w:rFonts w:cstheme="minorHAnsi"/>
                <w:b/>
              </w:rPr>
            </w:pPr>
            <w:r w:rsidRPr="00520C23">
              <w:rPr>
                <w:rFonts w:cstheme="minorHAnsi"/>
                <w:b/>
              </w:rPr>
              <w:t>Code of Practice</w:t>
            </w:r>
          </w:p>
          <w:p w14:paraId="460F5E1C" w14:textId="77777777" w:rsidR="00472715" w:rsidRPr="00520C23" w:rsidRDefault="00472715" w:rsidP="00472715">
            <w:pPr>
              <w:spacing w:before="120"/>
              <w:rPr>
                <w:rFonts w:cstheme="minorHAnsi"/>
                <w:u w:val="single"/>
              </w:rPr>
            </w:pPr>
            <w:r w:rsidRPr="00520C23">
              <w:rPr>
                <w:rFonts w:cstheme="minorHAnsi"/>
                <w:u w:val="single"/>
              </w:rPr>
              <w:t xml:space="preserve">A.3.6 Weed management </w:t>
            </w:r>
          </w:p>
          <w:p w14:paraId="2CBA6D7E" w14:textId="4627F4C5" w:rsidR="00472715" w:rsidRPr="00520C23" w:rsidRDefault="00472715" w:rsidP="00472715">
            <w:pPr>
              <w:spacing w:before="120"/>
              <w:rPr>
                <w:rStyle w:val="Hyperlink"/>
                <w:rFonts w:cstheme="minorHAnsi"/>
              </w:rPr>
            </w:pPr>
            <w:r w:rsidRPr="00520C23">
              <w:rPr>
                <w:rFonts w:cstheme="minorHAnsi"/>
              </w:rPr>
              <w:t xml:space="preserve">A project specific weed management plan must be developed as part of the EMP which meets the requirements of the </w:t>
            </w:r>
            <w:r w:rsidRPr="00520C23">
              <w:rPr>
                <w:rFonts w:cstheme="minorHAnsi"/>
                <w:i/>
              </w:rPr>
              <w:t>NT Weed Management Planning Guide: Onshore Petroleum Projects</w:t>
            </w:r>
            <w:r w:rsidRPr="00520C23">
              <w:rPr>
                <w:rFonts w:cstheme="minorHAnsi"/>
              </w:rPr>
              <w:t xml:space="preserve"> (available </w:t>
            </w:r>
            <w:hyperlink r:id="rId37" w:history="1">
              <w:r w:rsidRPr="00520C23">
                <w:rPr>
                  <w:rStyle w:val="Hyperlink"/>
                  <w:rFonts w:cstheme="minorHAnsi"/>
                </w:rPr>
                <w:t>here</w:t>
              </w:r>
            </w:hyperlink>
            <w:r w:rsidRPr="00520C23">
              <w:rPr>
                <w:rFonts w:cstheme="minorHAnsi"/>
              </w:rPr>
              <w:t xml:space="preserve">). </w:t>
            </w:r>
          </w:p>
          <w:p w14:paraId="70024553" w14:textId="13196551" w:rsidR="00472715" w:rsidRPr="00520C23" w:rsidRDefault="00472715" w:rsidP="00472715">
            <w:pPr>
              <w:spacing w:before="120"/>
              <w:rPr>
                <w:rFonts w:cstheme="minorHAnsi"/>
              </w:rPr>
            </w:pPr>
            <w:r w:rsidRPr="00520C23">
              <w:rPr>
                <w:rFonts w:cstheme="minorHAnsi"/>
              </w:rPr>
              <w:t xml:space="preserve">The plan must provide for: </w:t>
            </w:r>
          </w:p>
          <w:p w14:paraId="57EF5170" w14:textId="1AC5D9D7" w:rsidR="00472715" w:rsidRPr="00520C23" w:rsidRDefault="00472715" w:rsidP="00472715">
            <w:pPr>
              <w:pStyle w:val="ListParagraph"/>
              <w:numPr>
                <w:ilvl w:val="0"/>
                <w:numId w:val="79"/>
              </w:numPr>
              <w:spacing w:before="120"/>
              <w:rPr>
                <w:rFonts w:cstheme="minorHAnsi"/>
                <w:i/>
                <w:iCs/>
              </w:rPr>
            </w:pPr>
            <w:r w:rsidRPr="00520C23">
              <w:rPr>
                <w:rFonts w:cstheme="minorHAnsi"/>
                <w:i/>
                <w:iCs/>
              </w:rPr>
              <w:t>baseline weed assessments prior to regulated activities being undertaken</w:t>
            </w:r>
          </w:p>
          <w:p w14:paraId="56384C4A" w14:textId="193BA38C" w:rsidR="00472715" w:rsidRPr="00520C23" w:rsidRDefault="00472715" w:rsidP="00472715">
            <w:pPr>
              <w:pStyle w:val="Default"/>
              <w:numPr>
                <w:ilvl w:val="0"/>
                <w:numId w:val="79"/>
              </w:numPr>
              <w:rPr>
                <w:rFonts w:asciiTheme="minorHAnsi" w:hAnsiTheme="minorHAnsi" w:cstheme="minorHAnsi"/>
                <w:sz w:val="22"/>
                <w:szCs w:val="22"/>
                <w:lang w:val="en-AU"/>
              </w:rPr>
            </w:pPr>
            <w:r w:rsidRPr="00520C23">
              <w:rPr>
                <w:rFonts w:asciiTheme="minorHAnsi" w:hAnsiTheme="minorHAnsi" w:cstheme="minorHAnsi"/>
                <w:i/>
                <w:iCs/>
                <w:sz w:val="22"/>
                <w:szCs w:val="22"/>
                <w:lang w:val="en-AU"/>
              </w:rPr>
              <w:t>ongoing weed monitoring…</w:t>
            </w:r>
          </w:p>
        </w:tc>
        <w:tc>
          <w:tcPr>
            <w:tcW w:w="5310" w:type="dxa"/>
            <w:shd w:val="clear" w:color="auto" w:fill="E2EFD9" w:themeFill="accent6" w:themeFillTint="33"/>
          </w:tcPr>
          <w:p w14:paraId="26C2B3DB" w14:textId="52DC4B14" w:rsidR="00472715" w:rsidRPr="00520C23" w:rsidRDefault="00472715" w:rsidP="00472715">
            <w:pPr>
              <w:spacing w:before="120"/>
              <w:rPr>
                <w:rFonts w:cstheme="minorHAnsi"/>
              </w:rPr>
            </w:pPr>
            <w:r w:rsidRPr="00520C23">
              <w:rPr>
                <w:rFonts w:cstheme="minorHAnsi"/>
              </w:rPr>
              <w:t xml:space="preserve">The Code adequately addresses recommendation 8.2. </w:t>
            </w:r>
          </w:p>
        </w:tc>
      </w:tr>
      <w:tr w:rsidR="00EA3C33" w:rsidRPr="00520C23" w14:paraId="37CFE64C" w14:textId="5E4B0CDD" w:rsidTr="00EA3C33">
        <w:tc>
          <w:tcPr>
            <w:tcW w:w="846" w:type="dxa"/>
            <w:shd w:val="clear" w:color="auto" w:fill="auto"/>
          </w:tcPr>
          <w:p w14:paraId="47015B8A" w14:textId="77777777" w:rsidR="00472715" w:rsidRPr="00520C23" w:rsidRDefault="00472715" w:rsidP="00472715">
            <w:pPr>
              <w:spacing w:before="120"/>
              <w:jc w:val="center"/>
              <w:rPr>
                <w:rFonts w:cstheme="minorHAnsi"/>
              </w:rPr>
            </w:pPr>
            <w:r w:rsidRPr="00520C23">
              <w:rPr>
                <w:rFonts w:cstheme="minorHAnsi"/>
              </w:rPr>
              <w:t>8.3</w:t>
            </w:r>
          </w:p>
        </w:tc>
        <w:tc>
          <w:tcPr>
            <w:tcW w:w="4819" w:type="dxa"/>
            <w:shd w:val="clear" w:color="auto" w:fill="auto"/>
          </w:tcPr>
          <w:p w14:paraId="52CF52AE" w14:textId="3DA697BF" w:rsidR="00472715" w:rsidRPr="00520C23" w:rsidRDefault="00472715" w:rsidP="00472715">
            <w:pPr>
              <w:spacing w:before="120"/>
              <w:rPr>
                <w:rFonts w:cstheme="minorHAnsi"/>
                <w:i/>
                <w:iCs/>
              </w:rPr>
            </w:pPr>
            <w:r w:rsidRPr="00520C23">
              <w:rPr>
                <w:rFonts w:cstheme="minorHAnsi"/>
                <w:i/>
                <w:iCs/>
              </w:rPr>
              <w:t xml:space="preserve">That, at all times, gas companies must have a dedicated weeds officer for each gas field who is responsible for weed management and whose role includes: </w:t>
            </w:r>
          </w:p>
          <w:p w14:paraId="529175E8" w14:textId="0D98BA06" w:rsidR="00472715" w:rsidRPr="00520C23" w:rsidRDefault="00472715" w:rsidP="00472715">
            <w:pPr>
              <w:spacing w:before="120"/>
              <w:rPr>
                <w:rFonts w:cstheme="minorHAnsi"/>
                <w:i/>
                <w:iCs/>
              </w:rPr>
            </w:pPr>
            <w:r w:rsidRPr="00520C23">
              <w:rPr>
                <w:rFonts w:cstheme="minorHAnsi"/>
                <w:i/>
                <w:iCs/>
              </w:rPr>
              <w:t xml:space="preserve">• training all field workers in the identification of weeds, especially gamba and grader grass, and to establish an effective reporting system for any suspected weed incursions; </w:t>
            </w:r>
          </w:p>
          <w:p w14:paraId="316528DD" w14:textId="288FB7A0" w:rsidR="00472715" w:rsidRPr="00520C23" w:rsidRDefault="00472715" w:rsidP="00472715">
            <w:pPr>
              <w:spacing w:before="120"/>
              <w:rPr>
                <w:rFonts w:cstheme="minorHAnsi"/>
                <w:i/>
                <w:iCs/>
              </w:rPr>
            </w:pPr>
            <w:r w:rsidRPr="00520C23">
              <w:rPr>
                <w:rFonts w:cstheme="minorHAnsi"/>
                <w:i/>
                <w:iCs/>
              </w:rPr>
              <w:lastRenderedPageBreak/>
              <w:t xml:space="preserve">• designing and implementing effective weed surveillance; and </w:t>
            </w:r>
          </w:p>
          <w:p w14:paraId="10DD6920" w14:textId="2676240C" w:rsidR="00472715" w:rsidRPr="00520C23" w:rsidRDefault="00472715" w:rsidP="00472715">
            <w:pPr>
              <w:spacing w:before="120"/>
              <w:rPr>
                <w:rFonts w:cstheme="minorHAnsi"/>
                <w:i/>
                <w:iCs/>
              </w:rPr>
            </w:pPr>
            <w:r w:rsidRPr="00520C23">
              <w:rPr>
                <w:rFonts w:cstheme="minorHAnsi"/>
                <w:i/>
                <w:iCs/>
              </w:rPr>
              <w:t xml:space="preserve">• ensuring prompt and effective management of any weed incursions in consultation with affected landholders. That the gas industry funds a dedicated officer responsible for weed management associated with any onshore shale gas development. This officer is to be located in the Government’s Weed Management Branch in a regional centre. The officer will be responsible for: </w:t>
            </w:r>
          </w:p>
          <w:p w14:paraId="1916A501" w14:textId="77777777" w:rsidR="00472715" w:rsidRPr="00520C23" w:rsidRDefault="00472715" w:rsidP="00472715">
            <w:pPr>
              <w:spacing w:before="120"/>
              <w:rPr>
                <w:rFonts w:cstheme="minorHAnsi"/>
                <w:i/>
                <w:iCs/>
              </w:rPr>
            </w:pPr>
            <w:r w:rsidRPr="00520C23">
              <w:rPr>
                <w:rFonts w:cstheme="minorHAnsi"/>
                <w:i/>
                <w:iCs/>
              </w:rPr>
              <w:t xml:space="preserve">• coordinating regional weed baseline assessments and subsequent weed surveillance; and </w:t>
            </w:r>
          </w:p>
          <w:p w14:paraId="7CB4A9E2" w14:textId="77777777" w:rsidR="00472715" w:rsidRPr="00520C23" w:rsidRDefault="00472715" w:rsidP="00472715">
            <w:pPr>
              <w:spacing w:before="120"/>
              <w:rPr>
                <w:rFonts w:cstheme="minorHAnsi"/>
                <w:i/>
                <w:iCs/>
              </w:rPr>
            </w:pPr>
            <w:r w:rsidRPr="00520C23">
              <w:rPr>
                <w:rFonts w:cstheme="minorHAnsi"/>
                <w:i/>
                <w:iCs/>
              </w:rPr>
              <w:t xml:space="preserve">• overseeing strategic and effective management of any weed incursions by gas companies. </w:t>
            </w:r>
          </w:p>
          <w:p w14:paraId="489FDC36" w14:textId="54EBFF79" w:rsidR="00472715" w:rsidRPr="00520C23" w:rsidRDefault="00472715" w:rsidP="00472715">
            <w:pPr>
              <w:spacing w:before="120"/>
              <w:rPr>
                <w:rFonts w:cstheme="minorHAnsi"/>
                <w:i/>
                <w:iCs/>
              </w:rPr>
            </w:pPr>
          </w:p>
        </w:tc>
        <w:tc>
          <w:tcPr>
            <w:tcW w:w="5760" w:type="dxa"/>
            <w:shd w:val="clear" w:color="auto" w:fill="auto"/>
          </w:tcPr>
          <w:p w14:paraId="2EE9E7E8" w14:textId="4FD11318" w:rsidR="00472715" w:rsidRPr="00520C23" w:rsidRDefault="00472715" w:rsidP="00472715">
            <w:pPr>
              <w:spacing w:before="120"/>
            </w:pPr>
            <w:r w:rsidRPr="00520C23">
              <w:rPr>
                <w:rFonts w:ascii="Calibri" w:eastAsia="Calibri" w:hAnsi="Calibri" w:cs="Calibri"/>
                <w:color w:val="313131"/>
              </w:rPr>
              <w:lastRenderedPageBreak/>
              <w:t>The obligation on gas companies to have a dedicated weeds officer for each gas field have been built into weed management plan guidelines which are required to be complied with by the Code of Practice.</w:t>
            </w:r>
          </w:p>
          <w:p w14:paraId="1DDBE98C" w14:textId="2580CD62" w:rsidR="00472715" w:rsidRPr="00520C23" w:rsidRDefault="00472715" w:rsidP="00472715">
            <w:pPr>
              <w:spacing w:before="120"/>
              <w:rPr>
                <w:rFonts w:ascii="Calibri" w:eastAsia="Calibri" w:hAnsi="Calibri" w:cs="Calibri"/>
                <w:color w:val="313131"/>
              </w:rPr>
            </w:pPr>
          </w:p>
          <w:p w14:paraId="676451DA" w14:textId="3F684FB6" w:rsidR="00472715" w:rsidRPr="00520C23" w:rsidRDefault="00472715" w:rsidP="00472715">
            <w:pPr>
              <w:spacing w:before="120"/>
            </w:pPr>
            <w:r w:rsidRPr="00520C23">
              <w:rPr>
                <w:rFonts w:ascii="Calibri" w:eastAsia="Calibri" w:hAnsi="Calibri" w:cs="Calibri"/>
                <w:color w:val="313131"/>
              </w:rPr>
              <w:t xml:space="preserve">The Guideline has been released along with the Code of Practice. A dedicated weeds officer has been employed by </w:t>
            </w:r>
            <w:r w:rsidRPr="00520C23">
              <w:rPr>
                <w:rFonts w:ascii="Calibri" w:eastAsia="Calibri" w:hAnsi="Calibri" w:cs="Calibri"/>
                <w:color w:val="313131"/>
              </w:rPr>
              <w:lastRenderedPageBreak/>
              <w:t>the Department of Environment, Parks and Water Security working closely with industry to ensure weeds related risks are appropriately managed.</w:t>
            </w:r>
          </w:p>
          <w:p w14:paraId="228C7655" w14:textId="707F64E4" w:rsidR="00472715" w:rsidRPr="00520C23" w:rsidRDefault="00472715" w:rsidP="00472715">
            <w:pPr>
              <w:spacing w:before="120"/>
              <w:rPr>
                <w:b/>
                <w:bCs/>
              </w:rPr>
            </w:pPr>
          </w:p>
        </w:tc>
        <w:tc>
          <w:tcPr>
            <w:tcW w:w="5670" w:type="dxa"/>
            <w:shd w:val="clear" w:color="auto" w:fill="auto"/>
          </w:tcPr>
          <w:p w14:paraId="41286EFA" w14:textId="17D00640" w:rsidR="00472715" w:rsidRPr="00520C23" w:rsidRDefault="00472715" w:rsidP="00472715">
            <w:pPr>
              <w:spacing w:before="120"/>
              <w:rPr>
                <w:rFonts w:cstheme="minorHAnsi"/>
                <w:b/>
              </w:rPr>
            </w:pPr>
            <w:r w:rsidRPr="00520C23">
              <w:rPr>
                <w:rFonts w:cstheme="minorHAnsi"/>
                <w:b/>
              </w:rPr>
              <w:lastRenderedPageBreak/>
              <w:t>Code of Practice</w:t>
            </w:r>
          </w:p>
          <w:p w14:paraId="7EE3860C" w14:textId="77777777" w:rsidR="00472715" w:rsidRPr="00520C23" w:rsidRDefault="00472715" w:rsidP="00472715">
            <w:pPr>
              <w:spacing w:before="120"/>
              <w:rPr>
                <w:rFonts w:cstheme="minorHAnsi"/>
                <w:u w:val="single"/>
              </w:rPr>
            </w:pPr>
            <w:r w:rsidRPr="00520C23">
              <w:rPr>
                <w:rFonts w:cstheme="minorHAnsi"/>
                <w:u w:val="single"/>
              </w:rPr>
              <w:t xml:space="preserve">A.3.6 Weed management </w:t>
            </w:r>
          </w:p>
          <w:p w14:paraId="702175FA" w14:textId="50C26672" w:rsidR="00472715" w:rsidRPr="00520C23" w:rsidRDefault="00472715" w:rsidP="00472715">
            <w:pPr>
              <w:spacing w:before="120"/>
              <w:rPr>
                <w:rFonts w:cstheme="minorHAnsi"/>
              </w:rPr>
            </w:pPr>
            <w:r w:rsidRPr="00520C23">
              <w:rPr>
                <w:rFonts w:cstheme="minorHAnsi"/>
              </w:rPr>
              <w:t xml:space="preserve">A project specific weed management plan must be developed as part of the EMP which meets the requirements of the </w:t>
            </w:r>
            <w:r w:rsidRPr="00520C23">
              <w:rPr>
                <w:rFonts w:cstheme="minorHAnsi"/>
                <w:i/>
              </w:rPr>
              <w:t xml:space="preserve">NT </w:t>
            </w:r>
            <w:r w:rsidRPr="00520C23">
              <w:rPr>
                <w:rFonts w:cstheme="minorHAnsi"/>
                <w:i/>
                <w:iCs/>
              </w:rPr>
              <w:t>Weed Management Planning Guide: Onshore Petroleum Projects</w:t>
            </w:r>
            <w:r w:rsidRPr="00520C23">
              <w:rPr>
                <w:rFonts w:cstheme="minorHAnsi"/>
              </w:rPr>
              <w:t xml:space="preserve"> (</w:t>
            </w:r>
            <w:hyperlink r:id="rId38" w:history="1">
              <w:r w:rsidRPr="00520C23">
                <w:rPr>
                  <w:rStyle w:val="Hyperlink"/>
                  <w:rFonts w:cstheme="minorHAnsi"/>
                </w:rPr>
                <w:t>https://denr.nt.gov.au/__data/assets/pdf_file/0006/70855</w:t>
              </w:r>
              <w:r w:rsidRPr="00520C23">
                <w:rPr>
                  <w:rStyle w:val="Hyperlink"/>
                  <w:rFonts w:cstheme="minorHAnsi"/>
                </w:rPr>
                <w:lastRenderedPageBreak/>
                <w:t>8/weed-management-planning-guide-onshore-petroleum-projects.pdf</w:t>
              </w:r>
            </w:hyperlink>
            <w:r w:rsidRPr="00520C23">
              <w:rPr>
                <w:rFonts w:cstheme="minorHAnsi"/>
              </w:rPr>
              <w:t xml:space="preserve">). </w:t>
            </w:r>
          </w:p>
          <w:p w14:paraId="3C62E0BE" w14:textId="28CAFC98" w:rsidR="00472715" w:rsidRPr="00520C23" w:rsidRDefault="00472715" w:rsidP="00472715">
            <w:pPr>
              <w:spacing w:before="120"/>
              <w:rPr>
                <w:rFonts w:cstheme="minorHAnsi"/>
              </w:rPr>
            </w:pPr>
            <w:r w:rsidRPr="00520C23">
              <w:rPr>
                <w:rFonts w:cstheme="minorHAnsi"/>
              </w:rPr>
              <w:t xml:space="preserve">The plan must provide for… </w:t>
            </w:r>
          </w:p>
          <w:p w14:paraId="3854B1E4" w14:textId="652A5F40" w:rsidR="00472715" w:rsidRPr="00520C23" w:rsidRDefault="00472715" w:rsidP="00472715">
            <w:pPr>
              <w:spacing w:before="120"/>
              <w:rPr>
                <w:rFonts w:cstheme="minorHAnsi"/>
              </w:rPr>
            </w:pPr>
            <w:r w:rsidRPr="00520C23">
              <w:rPr>
                <w:rFonts w:cstheme="minorHAnsi"/>
              </w:rPr>
              <w:t>(c) … a dedicated weed officer…</w:t>
            </w:r>
          </w:p>
          <w:p w14:paraId="7679EA7F" w14:textId="45D072AE" w:rsidR="00472715" w:rsidRPr="00520C23" w:rsidRDefault="00472715" w:rsidP="00472715">
            <w:pPr>
              <w:spacing w:before="120"/>
              <w:rPr>
                <w:rFonts w:cstheme="minorHAnsi"/>
              </w:rPr>
            </w:pPr>
          </w:p>
        </w:tc>
        <w:tc>
          <w:tcPr>
            <w:tcW w:w="5310" w:type="dxa"/>
            <w:shd w:val="clear" w:color="auto" w:fill="E2EFD9" w:themeFill="accent6" w:themeFillTint="33"/>
          </w:tcPr>
          <w:p w14:paraId="1AD9BC01" w14:textId="616FF7B4" w:rsidR="00472715" w:rsidRPr="00520C23" w:rsidRDefault="00472715" w:rsidP="00472715">
            <w:pPr>
              <w:rPr>
                <w:rFonts w:cstheme="minorHAnsi"/>
              </w:rPr>
            </w:pPr>
            <w:r w:rsidRPr="00520C23">
              <w:rPr>
                <w:rFonts w:cstheme="minorHAnsi"/>
              </w:rPr>
              <w:lastRenderedPageBreak/>
              <w:t>The Code adequately addresses recommendation 8.3.</w:t>
            </w:r>
          </w:p>
          <w:p w14:paraId="1F7E9ABF" w14:textId="77777777" w:rsidR="00472715" w:rsidRPr="00520C23" w:rsidRDefault="00472715" w:rsidP="00472715">
            <w:pPr>
              <w:rPr>
                <w:rFonts w:cstheme="minorHAnsi"/>
              </w:rPr>
            </w:pPr>
          </w:p>
          <w:p w14:paraId="056D4D31" w14:textId="77777777" w:rsidR="00472715" w:rsidRPr="00520C23" w:rsidRDefault="00472715" w:rsidP="00472715">
            <w:pPr>
              <w:rPr>
                <w:rFonts w:cstheme="minorHAnsi"/>
                <w:i/>
                <w:iCs/>
                <w:u w:val="single"/>
              </w:rPr>
            </w:pPr>
            <w:r w:rsidRPr="00520C23">
              <w:rPr>
                <w:rFonts w:cstheme="minorHAnsi"/>
                <w:i/>
                <w:iCs/>
                <w:u w:val="single"/>
              </w:rPr>
              <w:t>Comments</w:t>
            </w:r>
          </w:p>
          <w:p w14:paraId="78D36A7D" w14:textId="3C586BD1" w:rsidR="00472715" w:rsidRPr="00520C23" w:rsidRDefault="00472715" w:rsidP="00472715">
            <w:pPr>
              <w:pStyle w:val="ListParagraph"/>
              <w:numPr>
                <w:ilvl w:val="0"/>
                <w:numId w:val="34"/>
              </w:numPr>
              <w:rPr>
                <w:rFonts w:cstheme="minorHAnsi"/>
                <w:u w:val="single"/>
              </w:rPr>
            </w:pPr>
            <w:r w:rsidRPr="00520C23">
              <w:rPr>
                <w:rFonts w:cstheme="minorHAnsi"/>
              </w:rPr>
              <w:t xml:space="preserve">The Code could contain more specificity about the roles of the weed officer, as defined in the recommendation. </w:t>
            </w:r>
          </w:p>
        </w:tc>
      </w:tr>
      <w:tr w:rsidR="00EA3C33" w:rsidRPr="00520C23" w14:paraId="491C7D06" w14:textId="34E10454" w:rsidTr="00EA3C33">
        <w:tc>
          <w:tcPr>
            <w:tcW w:w="846" w:type="dxa"/>
            <w:shd w:val="clear" w:color="auto" w:fill="auto"/>
          </w:tcPr>
          <w:p w14:paraId="3DC2D3EA" w14:textId="77777777" w:rsidR="00472715" w:rsidRPr="00520C23" w:rsidRDefault="00472715" w:rsidP="00472715">
            <w:pPr>
              <w:spacing w:before="120"/>
              <w:jc w:val="center"/>
              <w:rPr>
                <w:rFonts w:cstheme="minorHAnsi"/>
              </w:rPr>
            </w:pPr>
            <w:r w:rsidRPr="00520C23">
              <w:rPr>
                <w:rFonts w:cstheme="minorHAnsi"/>
              </w:rPr>
              <w:lastRenderedPageBreak/>
              <w:t>8.4</w:t>
            </w:r>
          </w:p>
        </w:tc>
        <w:tc>
          <w:tcPr>
            <w:tcW w:w="4819" w:type="dxa"/>
            <w:shd w:val="clear" w:color="auto" w:fill="auto"/>
          </w:tcPr>
          <w:p w14:paraId="6A9424FC" w14:textId="6A7D0F69" w:rsidR="00472715" w:rsidRPr="00520C23" w:rsidRDefault="00472715" w:rsidP="00472715">
            <w:pPr>
              <w:spacing w:before="120"/>
              <w:rPr>
                <w:rFonts w:cstheme="minorHAnsi"/>
                <w:i/>
                <w:iCs/>
              </w:rPr>
            </w:pPr>
            <w:r w:rsidRPr="00520C23">
              <w:rPr>
                <w:rFonts w:cstheme="minorHAnsi"/>
                <w:i/>
                <w:iCs/>
              </w:rPr>
              <w:t>That gas companies must be required to have an approved weed management plan for any area the subject of an exploration permit prior to any part of that area being accessed for the carrying out of any exploration activities. The WMP must be consistent with all relevant statutory obligations and relevant threat abatement plans established under the EPBC Act.</w:t>
            </w:r>
          </w:p>
          <w:p w14:paraId="426573E9" w14:textId="4E13D9B7" w:rsidR="00472715" w:rsidRPr="00520C23" w:rsidRDefault="00472715" w:rsidP="00472715">
            <w:pPr>
              <w:spacing w:before="120"/>
              <w:rPr>
                <w:rFonts w:cstheme="minorHAnsi"/>
                <w:i/>
                <w:iCs/>
              </w:rPr>
            </w:pPr>
            <w:r w:rsidRPr="00520C23">
              <w:rPr>
                <w:rFonts w:cstheme="minorHAnsi"/>
                <w:i/>
                <w:iCs/>
              </w:rPr>
              <w:t xml:space="preserve"> </w:t>
            </w:r>
          </w:p>
        </w:tc>
        <w:tc>
          <w:tcPr>
            <w:tcW w:w="5760" w:type="dxa"/>
            <w:shd w:val="clear" w:color="auto" w:fill="auto"/>
          </w:tcPr>
          <w:p w14:paraId="0E7689BA" w14:textId="547A3119" w:rsidR="00472715" w:rsidRPr="00520C23" w:rsidRDefault="00472715" w:rsidP="00472715">
            <w:pPr>
              <w:spacing w:before="120"/>
            </w:pPr>
            <w:r w:rsidRPr="00520C23">
              <w:rPr>
                <w:rFonts w:ascii="Calibri" w:eastAsia="Calibri" w:hAnsi="Calibri" w:cs="Calibri"/>
                <w:color w:val="313131"/>
              </w:rPr>
              <w:t xml:space="preserve">The Northern Territory Government worked with independent scientific experts to develop a Code of Practice relative to the Inquiry's recommendation. The Code is legally enforceable through the Petroleum (Environment) Regulations 2016. The finalised Code was published on 12 June 2019 and can be found </w:t>
            </w:r>
            <w:hyperlink r:id="rId39">
              <w:r w:rsidRPr="00520C23">
                <w:rPr>
                  <w:rStyle w:val="Hyperlink"/>
                  <w:rFonts w:ascii="Calibri" w:eastAsia="Calibri" w:hAnsi="Calibri" w:cs="Calibri"/>
                </w:rPr>
                <w:t>here</w:t>
              </w:r>
            </w:hyperlink>
            <w:r w:rsidRPr="00520C23">
              <w:rPr>
                <w:rFonts w:ascii="Calibri" w:eastAsia="Calibri" w:hAnsi="Calibri" w:cs="Calibri"/>
                <w:color w:val="313131"/>
              </w:rPr>
              <w:t>.</w:t>
            </w:r>
          </w:p>
          <w:p w14:paraId="3DC15D34" w14:textId="4B833D4A" w:rsidR="00472715" w:rsidRPr="00520C23" w:rsidRDefault="00472715" w:rsidP="00472715">
            <w:pPr>
              <w:spacing w:before="120"/>
              <w:rPr>
                <w:rFonts w:ascii="Calibri" w:eastAsia="Calibri" w:hAnsi="Calibri" w:cs="Calibri"/>
                <w:color w:val="313131"/>
              </w:rPr>
            </w:pPr>
          </w:p>
          <w:p w14:paraId="1BC2D360" w14:textId="342262CA" w:rsidR="00472715" w:rsidRPr="00520C23" w:rsidRDefault="00472715" w:rsidP="00472715">
            <w:pPr>
              <w:spacing w:before="120"/>
            </w:pPr>
            <w:r w:rsidRPr="00520C23">
              <w:rPr>
                <w:rFonts w:ascii="Calibri" w:eastAsia="Calibri" w:hAnsi="Calibri" w:cs="Calibri"/>
                <w:color w:val="313131"/>
              </w:rPr>
              <w:t>Weed Management Plans are now required by the Code of Practice to be included as part of an Environment Management Plan, under the Petroleum (Environment) Regulations 2016.</w:t>
            </w:r>
          </w:p>
          <w:p w14:paraId="0781595B" w14:textId="78890F20" w:rsidR="00472715" w:rsidRPr="00520C23" w:rsidRDefault="00472715" w:rsidP="00472715">
            <w:pPr>
              <w:spacing w:before="120"/>
              <w:rPr>
                <w:rFonts w:ascii="Calibri" w:eastAsia="Calibri" w:hAnsi="Calibri" w:cs="Calibri"/>
                <w:color w:val="313131"/>
              </w:rPr>
            </w:pPr>
          </w:p>
          <w:p w14:paraId="64FE7957" w14:textId="0F75C5F3" w:rsidR="00472715" w:rsidRPr="00520C23" w:rsidRDefault="00472715" w:rsidP="00472715">
            <w:pPr>
              <w:spacing w:before="120"/>
            </w:pPr>
            <w:r w:rsidRPr="00520C23">
              <w:rPr>
                <w:rFonts w:ascii="Calibri" w:eastAsia="Calibri" w:hAnsi="Calibri" w:cs="Calibri"/>
                <w:color w:val="313131"/>
              </w:rPr>
              <w:t xml:space="preserve">A Guideline has been developed outlining specific requirements which can be found on the </w:t>
            </w:r>
            <w:hyperlink r:id="rId40">
              <w:r w:rsidRPr="00520C23">
                <w:rPr>
                  <w:rStyle w:val="Hyperlink"/>
                  <w:rFonts w:ascii="Calibri" w:eastAsia="Calibri" w:hAnsi="Calibri" w:cs="Calibri"/>
                </w:rPr>
                <w:t>DEPWS website</w:t>
              </w:r>
            </w:hyperlink>
            <w:r w:rsidRPr="00520C23">
              <w:rPr>
                <w:rFonts w:ascii="Calibri" w:eastAsia="Calibri" w:hAnsi="Calibri" w:cs="Calibri"/>
                <w:color w:val="313131"/>
              </w:rPr>
              <w:t>.</w:t>
            </w:r>
          </w:p>
          <w:p w14:paraId="17396C6A" w14:textId="0DC48CA7" w:rsidR="00472715" w:rsidRPr="00520C23" w:rsidRDefault="00472715" w:rsidP="00472715">
            <w:pPr>
              <w:spacing w:before="120"/>
              <w:rPr>
                <w:b/>
                <w:bCs/>
              </w:rPr>
            </w:pPr>
          </w:p>
        </w:tc>
        <w:tc>
          <w:tcPr>
            <w:tcW w:w="5670" w:type="dxa"/>
            <w:shd w:val="clear" w:color="auto" w:fill="auto"/>
          </w:tcPr>
          <w:p w14:paraId="7BE46158" w14:textId="01A44D62" w:rsidR="00472715" w:rsidRPr="00520C23" w:rsidRDefault="00472715" w:rsidP="00472715">
            <w:pPr>
              <w:spacing w:before="120"/>
              <w:rPr>
                <w:rFonts w:cstheme="minorHAnsi"/>
                <w:b/>
              </w:rPr>
            </w:pPr>
            <w:r w:rsidRPr="00520C23">
              <w:rPr>
                <w:rFonts w:cstheme="minorHAnsi"/>
                <w:b/>
              </w:rPr>
              <w:t>Code of Practice</w:t>
            </w:r>
          </w:p>
          <w:p w14:paraId="4D3C59AF" w14:textId="096065A1" w:rsidR="00472715" w:rsidRPr="00520C23" w:rsidRDefault="00472715" w:rsidP="00472715">
            <w:pPr>
              <w:spacing w:before="120"/>
              <w:rPr>
                <w:rFonts w:cstheme="minorHAnsi"/>
                <w:u w:val="single"/>
              </w:rPr>
            </w:pPr>
            <w:r w:rsidRPr="00520C23">
              <w:rPr>
                <w:rFonts w:cstheme="minorHAnsi"/>
                <w:u w:val="single"/>
              </w:rPr>
              <w:t xml:space="preserve">A.3.6 Weed management </w:t>
            </w:r>
          </w:p>
          <w:p w14:paraId="5461BD9C" w14:textId="67B78A39" w:rsidR="00472715" w:rsidRPr="00520C23" w:rsidRDefault="00472715" w:rsidP="00472715">
            <w:pPr>
              <w:spacing w:before="120"/>
              <w:rPr>
                <w:rFonts w:cstheme="minorHAnsi"/>
              </w:rPr>
            </w:pPr>
            <w:r w:rsidRPr="00520C23">
              <w:rPr>
                <w:rFonts w:cstheme="minorHAnsi"/>
              </w:rPr>
              <w:t xml:space="preserve">A project specific weed management plan must be developed as part of the EMP which meets the requirements of the </w:t>
            </w:r>
            <w:r w:rsidRPr="00520C23">
              <w:rPr>
                <w:rFonts w:cstheme="minorHAnsi"/>
                <w:i/>
              </w:rPr>
              <w:t xml:space="preserve">NT </w:t>
            </w:r>
            <w:r w:rsidRPr="00520C23">
              <w:rPr>
                <w:rFonts w:cstheme="minorHAnsi"/>
                <w:i/>
                <w:iCs/>
              </w:rPr>
              <w:t>Weed Management Planning Guide: Onshore Petroleum Projects</w:t>
            </w:r>
            <w:r w:rsidRPr="00520C23">
              <w:rPr>
                <w:rFonts w:cstheme="minorHAnsi"/>
              </w:rPr>
              <w:t xml:space="preserve"> (</w:t>
            </w:r>
            <w:hyperlink r:id="rId41" w:history="1">
              <w:r w:rsidRPr="00520C23">
                <w:rPr>
                  <w:rStyle w:val="Hyperlink"/>
                  <w:rFonts w:cstheme="minorHAnsi"/>
                </w:rPr>
                <w:t>https://denr.nt.gov.au/__data/assets/pdf_file/0006/708558/weed-management-planning-guide-onshore-petroleum-projects.pdf</w:t>
              </w:r>
            </w:hyperlink>
            <w:r w:rsidRPr="00520C23">
              <w:rPr>
                <w:rFonts w:cstheme="minorHAnsi"/>
              </w:rPr>
              <w:t>).</w:t>
            </w:r>
          </w:p>
        </w:tc>
        <w:tc>
          <w:tcPr>
            <w:tcW w:w="5310" w:type="dxa"/>
            <w:shd w:val="clear" w:color="auto" w:fill="E2EFD9" w:themeFill="accent6" w:themeFillTint="33"/>
          </w:tcPr>
          <w:p w14:paraId="29C4EB27" w14:textId="451115BC" w:rsidR="00472715" w:rsidRPr="00520C23" w:rsidRDefault="00472715" w:rsidP="00472715">
            <w:pPr>
              <w:spacing w:before="120"/>
              <w:rPr>
                <w:rFonts w:cstheme="minorHAnsi"/>
              </w:rPr>
            </w:pPr>
            <w:r w:rsidRPr="00520C23">
              <w:rPr>
                <w:rFonts w:cstheme="minorHAnsi"/>
              </w:rPr>
              <w:t>The Code adequately addresses recommendation 8.4.</w:t>
            </w:r>
          </w:p>
          <w:p w14:paraId="30F8EC76" w14:textId="66DC3AB4" w:rsidR="00472715" w:rsidRPr="00520C23" w:rsidRDefault="00472715" w:rsidP="00472715">
            <w:pPr>
              <w:spacing w:before="120"/>
              <w:rPr>
                <w:rFonts w:cstheme="minorHAnsi"/>
                <w:i/>
              </w:rPr>
            </w:pPr>
          </w:p>
        </w:tc>
      </w:tr>
      <w:tr w:rsidR="00EA3C33" w:rsidRPr="00520C23" w14:paraId="33A60BF0" w14:textId="77777777" w:rsidTr="00EA3C33">
        <w:tc>
          <w:tcPr>
            <w:tcW w:w="846" w:type="dxa"/>
            <w:shd w:val="clear" w:color="auto" w:fill="auto"/>
          </w:tcPr>
          <w:p w14:paraId="6DA3EFC7" w14:textId="49BDE81F" w:rsidR="00472715" w:rsidRPr="00520C23" w:rsidRDefault="00472715" w:rsidP="00472715">
            <w:pPr>
              <w:spacing w:before="120"/>
              <w:jc w:val="center"/>
              <w:rPr>
                <w:rFonts w:cstheme="minorHAnsi"/>
              </w:rPr>
            </w:pPr>
            <w:r w:rsidRPr="00520C23">
              <w:rPr>
                <w:rFonts w:cstheme="minorHAnsi"/>
              </w:rPr>
              <w:t>8.5</w:t>
            </w:r>
          </w:p>
        </w:tc>
        <w:tc>
          <w:tcPr>
            <w:tcW w:w="4819" w:type="dxa"/>
            <w:shd w:val="clear" w:color="auto" w:fill="auto"/>
          </w:tcPr>
          <w:p w14:paraId="0BF2B39F" w14:textId="77777777" w:rsidR="00472715" w:rsidRPr="00520C23" w:rsidRDefault="00472715" w:rsidP="00472715">
            <w:pPr>
              <w:spacing w:before="120"/>
              <w:rPr>
                <w:rFonts w:cstheme="minorHAnsi"/>
                <w:i/>
                <w:iCs/>
              </w:rPr>
            </w:pPr>
            <w:r w:rsidRPr="00520C23">
              <w:rPr>
                <w:rFonts w:cstheme="minorHAnsi"/>
                <w:i/>
                <w:iCs/>
              </w:rPr>
              <w:t>That gas companies be required to comply with any statutory regional fire management plan within their area of exploration and/or production activity. The fire management plan must:</w:t>
            </w:r>
          </w:p>
          <w:p w14:paraId="78E18B63" w14:textId="77777777" w:rsidR="00472715" w:rsidRPr="00520C23" w:rsidRDefault="00472715" w:rsidP="00472715">
            <w:pPr>
              <w:numPr>
                <w:ilvl w:val="0"/>
                <w:numId w:val="35"/>
              </w:numPr>
              <w:spacing w:before="120"/>
              <w:rPr>
                <w:rFonts w:cstheme="minorHAnsi"/>
                <w:i/>
                <w:iCs/>
              </w:rPr>
            </w:pPr>
            <w:r w:rsidRPr="00520C23">
              <w:rPr>
                <w:rFonts w:cstheme="minorHAnsi"/>
                <w:i/>
                <w:iCs/>
              </w:rPr>
              <w:t>address the impacts that any onshore shale gas industry will have on fire regimes in the NT and identify how those impacts will be managed;</w:t>
            </w:r>
          </w:p>
          <w:p w14:paraId="7FAD50BE" w14:textId="77777777" w:rsidR="00472715" w:rsidRPr="00520C23" w:rsidRDefault="00472715" w:rsidP="00472715">
            <w:pPr>
              <w:numPr>
                <w:ilvl w:val="0"/>
                <w:numId w:val="35"/>
              </w:numPr>
              <w:spacing w:before="120"/>
              <w:rPr>
                <w:rFonts w:cstheme="minorHAnsi"/>
                <w:i/>
                <w:iCs/>
              </w:rPr>
            </w:pPr>
            <w:r w:rsidRPr="00520C23">
              <w:rPr>
                <w:rFonts w:cstheme="minorHAnsi"/>
                <w:i/>
                <w:iCs/>
              </w:rPr>
              <w:t>establish robust monitoring programs for assessing seasonal conditions and fuel loads;</w:t>
            </w:r>
          </w:p>
          <w:p w14:paraId="36FF8BED" w14:textId="77777777" w:rsidR="00472715" w:rsidRPr="00520C23" w:rsidRDefault="00472715" w:rsidP="00472715">
            <w:pPr>
              <w:numPr>
                <w:ilvl w:val="0"/>
                <w:numId w:val="35"/>
              </w:numPr>
              <w:spacing w:before="120"/>
              <w:rPr>
                <w:rFonts w:cstheme="minorHAnsi"/>
                <w:i/>
                <w:iCs/>
              </w:rPr>
            </w:pPr>
            <w:r w:rsidRPr="00520C23">
              <w:rPr>
                <w:rFonts w:cstheme="minorHAnsi"/>
                <w:i/>
                <w:iCs/>
              </w:rPr>
              <w:t>require that annual fire mapping be undertaken to monitor any increase in fire frequency due to any onshore shale gas development;</w:t>
            </w:r>
          </w:p>
          <w:p w14:paraId="04A7C32A" w14:textId="77777777" w:rsidR="00472715" w:rsidRPr="00520C23" w:rsidRDefault="00472715" w:rsidP="00472715">
            <w:pPr>
              <w:numPr>
                <w:ilvl w:val="0"/>
                <w:numId w:val="35"/>
              </w:numPr>
              <w:spacing w:before="120"/>
              <w:rPr>
                <w:rFonts w:cstheme="minorHAnsi"/>
                <w:i/>
                <w:iCs/>
              </w:rPr>
            </w:pPr>
            <w:r w:rsidRPr="00520C23">
              <w:rPr>
                <w:rFonts w:cstheme="minorHAnsi"/>
                <w:i/>
                <w:iCs/>
              </w:rPr>
              <w:lastRenderedPageBreak/>
              <w:t>require that all existing baseline data for at least the decade prior to commencement of any exploration activity be collated and published;</w:t>
            </w:r>
          </w:p>
          <w:p w14:paraId="32F6E159" w14:textId="77777777" w:rsidR="00472715" w:rsidRPr="00520C23" w:rsidRDefault="00472715" w:rsidP="00472715">
            <w:pPr>
              <w:numPr>
                <w:ilvl w:val="0"/>
                <w:numId w:val="35"/>
              </w:numPr>
              <w:spacing w:before="120"/>
              <w:rPr>
                <w:rFonts w:cstheme="minorHAnsi"/>
                <w:i/>
                <w:iCs/>
              </w:rPr>
            </w:pPr>
            <w:r w:rsidRPr="00520C23">
              <w:rPr>
                <w:rFonts w:cstheme="minorHAnsi"/>
                <w:i/>
                <w:iCs/>
              </w:rPr>
              <w:t>implement management actions, such as prescribed fuel reduction burns at strategic locations, if fire frequency is shown to have increased due to onshore shale gas activity; and</w:t>
            </w:r>
          </w:p>
          <w:p w14:paraId="442FEAEC" w14:textId="77777777" w:rsidR="00472715" w:rsidRPr="00520C23" w:rsidRDefault="00472715" w:rsidP="00472715">
            <w:pPr>
              <w:numPr>
                <w:ilvl w:val="0"/>
                <w:numId w:val="35"/>
              </w:numPr>
              <w:spacing w:before="120"/>
              <w:rPr>
                <w:rFonts w:cstheme="minorHAnsi"/>
                <w:i/>
                <w:iCs/>
              </w:rPr>
            </w:pPr>
            <w:r w:rsidRPr="00520C23">
              <w:rPr>
                <w:rFonts w:cstheme="minorHAnsi"/>
                <w:i/>
                <w:iCs/>
              </w:rPr>
              <w:t>facilitate support for local volunteer fire brigades to increase regional capacity for fire management</w:t>
            </w:r>
          </w:p>
          <w:p w14:paraId="45328820" w14:textId="77777777" w:rsidR="00472715" w:rsidRPr="00520C23" w:rsidRDefault="00472715" w:rsidP="00472715">
            <w:pPr>
              <w:spacing w:before="120"/>
              <w:rPr>
                <w:rFonts w:cstheme="minorHAnsi"/>
                <w:i/>
                <w:iCs/>
              </w:rPr>
            </w:pPr>
          </w:p>
        </w:tc>
        <w:tc>
          <w:tcPr>
            <w:tcW w:w="5760" w:type="dxa"/>
            <w:shd w:val="clear" w:color="auto" w:fill="auto"/>
          </w:tcPr>
          <w:p w14:paraId="3E9CFD94" w14:textId="545B9CC1" w:rsidR="00472715" w:rsidRPr="00520C23" w:rsidRDefault="00472715" w:rsidP="00472715">
            <w:pPr>
              <w:spacing w:before="120"/>
              <w:rPr>
                <w:rFonts w:cstheme="minorHAnsi"/>
                <w:bCs/>
              </w:rPr>
            </w:pPr>
            <w:r w:rsidRPr="00520C23">
              <w:rPr>
                <w:rFonts w:cstheme="minorHAnsi"/>
                <w:bCs/>
              </w:rPr>
              <w:lastRenderedPageBreak/>
              <w:t>The Northern Territory Government has worked with independent scientific experts to develop a Code of Practice relative to the Inquiry's recommendation. The Code is legally enforceable through the Petroleum (Environment) Regulations 2016. The finalised </w:t>
            </w:r>
            <w:hyperlink r:id="rId42"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1E8ED450" w14:textId="3B72F755" w:rsidR="00472715" w:rsidRPr="00520C23" w:rsidRDefault="00472715" w:rsidP="00472715">
            <w:pPr>
              <w:spacing w:before="120"/>
              <w:rPr>
                <w:rFonts w:cstheme="minorHAnsi"/>
                <w:b/>
                <w:bCs/>
              </w:rPr>
            </w:pPr>
            <w:r w:rsidRPr="00520C23">
              <w:rPr>
                <w:rFonts w:cstheme="minorHAnsi"/>
                <w:b/>
                <w:bCs/>
              </w:rPr>
              <w:t>Code of Practice</w:t>
            </w:r>
          </w:p>
          <w:p w14:paraId="6B438E0C" w14:textId="637F1D2B" w:rsidR="00472715" w:rsidRPr="00520C23" w:rsidRDefault="00472715" w:rsidP="00472715">
            <w:pPr>
              <w:spacing w:before="120"/>
              <w:rPr>
                <w:rFonts w:cstheme="minorHAnsi"/>
                <w:u w:val="single"/>
              </w:rPr>
            </w:pPr>
            <w:r w:rsidRPr="00520C23">
              <w:rPr>
                <w:rFonts w:cstheme="minorHAnsi"/>
                <w:u w:val="single"/>
              </w:rPr>
              <w:t xml:space="preserve">A.3.7 Fire management </w:t>
            </w:r>
          </w:p>
          <w:p w14:paraId="19AD4BF0" w14:textId="77777777" w:rsidR="00472715" w:rsidRPr="00520C23" w:rsidRDefault="00472715" w:rsidP="00472715">
            <w:pPr>
              <w:spacing w:before="120"/>
              <w:rPr>
                <w:rFonts w:cstheme="minorHAnsi"/>
              </w:rPr>
            </w:pPr>
            <w:r w:rsidRPr="00520C23">
              <w:rPr>
                <w:rFonts w:cstheme="minorHAnsi"/>
              </w:rPr>
              <w:t xml:space="preserve">(a) A fire management plan at a project level must be developed as part of the EMP which demonstrates the following: </w:t>
            </w:r>
          </w:p>
          <w:p w14:paraId="2846E71E" w14:textId="77777777" w:rsidR="00472715" w:rsidRPr="00520C23" w:rsidRDefault="00472715" w:rsidP="00472715">
            <w:pPr>
              <w:spacing w:before="120"/>
              <w:rPr>
                <w:rFonts w:cstheme="minorHAnsi"/>
              </w:rPr>
            </w:pPr>
            <w:r w:rsidRPr="00520C23">
              <w:rPr>
                <w:rFonts w:cstheme="minorHAnsi"/>
              </w:rPr>
              <w:t xml:space="preserve">i. analysis of baseline fire information (at least 10 years); </w:t>
            </w:r>
          </w:p>
          <w:p w14:paraId="231FDDF1" w14:textId="3AED4057" w:rsidR="00472715" w:rsidRPr="00520C23" w:rsidRDefault="00472715" w:rsidP="00472715">
            <w:pPr>
              <w:spacing w:before="120"/>
              <w:rPr>
                <w:rFonts w:cstheme="minorHAnsi"/>
              </w:rPr>
            </w:pPr>
            <w:r w:rsidRPr="00520C23">
              <w:rPr>
                <w:rFonts w:cstheme="minorHAnsi"/>
              </w:rPr>
              <w:t xml:space="preserve">ii. analysis of impacts of the proposed activities on the existing fire management regime(including measures and strategies of government and other stakeholders); </w:t>
            </w:r>
          </w:p>
          <w:p w14:paraId="18923C92" w14:textId="77777777" w:rsidR="00472715" w:rsidRPr="00520C23" w:rsidRDefault="00472715" w:rsidP="00472715">
            <w:pPr>
              <w:spacing w:before="120"/>
              <w:rPr>
                <w:rFonts w:cstheme="minorHAnsi"/>
              </w:rPr>
            </w:pPr>
            <w:r w:rsidRPr="00520C23">
              <w:rPr>
                <w:rFonts w:cstheme="minorHAnsi"/>
              </w:rPr>
              <w:t xml:space="preserve">iii. coordination with the landholder and other land users and consistency with the landholder’s fire management obligations and strategies (including regional and property fire management plans under the </w:t>
            </w:r>
            <w:r w:rsidRPr="00520C23">
              <w:rPr>
                <w:rFonts w:cstheme="minorHAnsi"/>
                <w:i/>
                <w:iCs/>
              </w:rPr>
              <w:t>Bushfires Management Act 2016</w:t>
            </w:r>
            <w:r w:rsidRPr="00520C23">
              <w:rPr>
                <w:rFonts w:cstheme="minorHAnsi"/>
              </w:rPr>
              <w:t xml:space="preserve">) </w:t>
            </w:r>
          </w:p>
          <w:p w14:paraId="3D2A7499" w14:textId="77777777" w:rsidR="00472715" w:rsidRPr="00520C23" w:rsidRDefault="00472715" w:rsidP="00472715">
            <w:pPr>
              <w:spacing w:before="120"/>
              <w:rPr>
                <w:rFonts w:cstheme="minorHAnsi"/>
              </w:rPr>
            </w:pPr>
            <w:r w:rsidRPr="00520C23">
              <w:rPr>
                <w:rFonts w:cstheme="minorHAnsi"/>
              </w:rPr>
              <w:lastRenderedPageBreak/>
              <w:t xml:space="preserve">iv. implementation of the interest holder’s appropriate fire mitigation measures, such as: </w:t>
            </w:r>
          </w:p>
          <w:p w14:paraId="20C7D6F8" w14:textId="77777777" w:rsidR="00472715" w:rsidRPr="00520C23" w:rsidRDefault="00472715" w:rsidP="00F90BAA">
            <w:pPr>
              <w:numPr>
                <w:ilvl w:val="2"/>
                <w:numId w:val="81"/>
              </w:numPr>
              <w:spacing w:before="120"/>
              <w:ind w:left="720" w:hanging="720"/>
              <w:rPr>
                <w:rFonts w:cstheme="minorHAnsi"/>
              </w:rPr>
            </w:pPr>
            <w:r w:rsidRPr="00520C23">
              <w:rPr>
                <w:rFonts w:cstheme="minorHAnsi"/>
              </w:rPr>
              <w:t xml:space="preserve">robust monitoring of seasonal conditions and fuel loads; </w:t>
            </w:r>
          </w:p>
          <w:p w14:paraId="2D8EA337" w14:textId="77777777" w:rsidR="00472715" w:rsidRPr="00520C23" w:rsidRDefault="00472715" w:rsidP="00F90BAA">
            <w:pPr>
              <w:numPr>
                <w:ilvl w:val="2"/>
                <w:numId w:val="81"/>
              </w:numPr>
              <w:spacing w:before="120"/>
              <w:ind w:left="720" w:hanging="720"/>
              <w:rPr>
                <w:rFonts w:cstheme="minorHAnsi"/>
              </w:rPr>
            </w:pPr>
            <w:r w:rsidRPr="00520C23">
              <w:rPr>
                <w:rFonts w:cstheme="minorHAnsi"/>
              </w:rPr>
              <w:t xml:space="preserve">maintenance of fire access trails; </w:t>
            </w:r>
          </w:p>
          <w:p w14:paraId="54183485" w14:textId="77777777" w:rsidR="00472715" w:rsidRPr="00520C23" w:rsidRDefault="00472715" w:rsidP="00F90BAA">
            <w:pPr>
              <w:numPr>
                <w:ilvl w:val="2"/>
                <w:numId w:val="81"/>
              </w:numPr>
              <w:spacing w:before="120"/>
              <w:ind w:left="720" w:hanging="720"/>
              <w:rPr>
                <w:rFonts w:cstheme="minorHAnsi"/>
              </w:rPr>
            </w:pPr>
            <w:r w:rsidRPr="00520C23">
              <w:rPr>
                <w:rFonts w:cstheme="minorHAnsi"/>
              </w:rPr>
              <w:t xml:space="preserve">maintenance of fire breaks around infrastructure; </w:t>
            </w:r>
          </w:p>
          <w:p w14:paraId="3FA3AD5B" w14:textId="77777777" w:rsidR="00472715" w:rsidRPr="00520C23" w:rsidRDefault="00472715" w:rsidP="00F90BAA">
            <w:pPr>
              <w:numPr>
                <w:ilvl w:val="2"/>
                <w:numId w:val="81"/>
              </w:numPr>
              <w:spacing w:before="120"/>
              <w:ind w:left="720" w:hanging="720"/>
              <w:rPr>
                <w:rFonts w:cstheme="minorHAnsi"/>
              </w:rPr>
            </w:pPr>
            <w:r w:rsidRPr="00520C23">
              <w:rPr>
                <w:rFonts w:cstheme="minorHAnsi"/>
              </w:rPr>
              <w:t xml:space="preserve">controlled burns; </w:t>
            </w:r>
          </w:p>
          <w:p w14:paraId="053E4A23" w14:textId="77777777" w:rsidR="00472715" w:rsidRPr="00520C23" w:rsidRDefault="00472715" w:rsidP="00F90BAA">
            <w:pPr>
              <w:numPr>
                <w:ilvl w:val="2"/>
                <w:numId w:val="81"/>
              </w:numPr>
              <w:spacing w:before="120"/>
              <w:ind w:left="720" w:hanging="720"/>
              <w:rPr>
                <w:rFonts w:cstheme="minorHAnsi"/>
              </w:rPr>
            </w:pPr>
            <w:r w:rsidRPr="00520C23">
              <w:rPr>
                <w:rFonts w:cstheme="minorHAnsi"/>
              </w:rPr>
              <w:t xml:space="preserve">communication system for monitoring bushfire alerts in the area; and </w:t>
            </w:r>
          </w:p>
          <w:p w14:paraId="41AEDE88" w14:textId="77777777" w:rsidR="00472715" w:rsidRPr="00520C23" w:rsidRDefault="00472715" w:rsidP="00F90BAA">
            <w:pPr>
              <w:numPr>
                <w:ilvl w:val="2"/>
                <w:numId w:val="81"/>
              </w:numPr>
              <w:spacing w:before="120"/>
              <w:ind w:left="720" w:hanging="720"/>
              <w:rPr>
                <w:rFonts w:cstheme="minorHAnsi"/>
              </w:rPr>
            </w:pPr>
            <w:r w:rsidRPr="00520C23">
              <w:rPr>
                <w:rFonts w:cstheme="minorHAnsi"/>
              </w:rPr>
              <w:t xml:space="preserve">contributing to increased regional fire fighting capacity (such as local volunteer fire brigades); </w:t>
            </w:r>
          </w:p>
          <w:p w14:paraId="6C9BDBA0" w14:textId="77777777" w:rsidR="00472715" w:rsidRPr="00520C23" w:rsidRDefault="00472715" w:rsidP="00472715">
            <w:pPr>
              <w:numPr>
                <w:ilvl w:val="2"/>
                <w:numId w:val="80"/>
              </w:numPr>
              <w:spacing w:before="120"/>
              <w:rPr>
                <w:rFonts w:cstheme="minorHAnsi"/>
              </w:rPr>
            </w:pPr>
            <w:r w:rsidRPr="00520C23">
              <w:rPr>
                <w:rFonts w:cstheme="minorHAnsi"/>
              </w:rPr>
              <w:t xml:space="preserve">v. appropriate fire control measures for relevant activities; </w:t>
            </w:r>
          </w:p>
          <w:p w14:paraId="32456942" w14:textId="77777777" w:rsidR="00472715" w:rsidRPr="00520C23" w:rsidRDefault="00472715" w:rsidP="00472715">
            <w:pPr>
              <w:numPr>
                <w:ilvl w:val="2"/>
                <w:numId w:val="80"/>
              </w:numPr>
              <w:spacing w:before="120"/>
              <w:rPr>
                <w:rFonts w:cstheme="minorHAnsi"/>
              </w:rPr>
            </w:pPr>
            <w:r w:rsidRPr="00520C23">
              <w:rPr>
                <w:rFonts w:cstheme="minorHAnsi"/>
              </w:rPr>
              <w:t xml:space="preserve">vi. annual fire mapping to monitor changes to fire frequency in the relevant area. </w:t>
            </w:r>
          </w:p>
          <w:p w14:paraId="2BE3E49E" w14:textId="77777777" w:rsidR="00472715" w:rsidRPr="00520C23" w:rsidRDefault="00472715" w:rsidP="00472715">
            <w:pPr>
              <w:numPr>
                <w:ilvl w:val="2"/>
                <w:numId w:val="80"/>
              </w:numPr>
              <w:spacing w:before="120"/>
              <w:rPr>
                <w:rFonts w:cstheme="minorHAnsi"/>
              </w:rPr>
            </w:pPr>
            <w:r w:rsidRPr="00520C23">
              <w:rPr>
                <w:rFonts w:cstheme="minorHAnsi"/>
              </w:rPr>
              <w:t xml:space="preserve">(b) infrastructure must be designed, constructed, operated and maintained to mitigate risks of ignition. </w:t>
            </w:r>
          </w:p>
          <w:p w14:paraId="27B8FB52" w14:textId="77777777" w:rsidR="00472715" w:rsidRPr="00520C23" w:rsidRDefault="00472715" w:rsidP="00472715">
            <w:pPr>
              <w:spacing w:before="120"/>
              <w:rPr>
                <w:rFonts w:cstheme="minorHAnsi"/>
              </w:rPr>
            </w:pPr>
          </w:p>
        </w:tc>
        <w:tc>
          <w:tcPr>
            <w:tcW w:w="5310" w:type="dxa"/>
            <w:shd w:val="clear" w:color="auto" w:fill="E2EFD9" w:themeFill="accent6" w:themeFillTint="33"/>
          </w:tcPr>
          <w:p w14:paraId="03A9D66D" w14:textId="77777777" w:rsidR="00472715" w:rsidRPr="00520C23" w:rsidRDefault="00472715" w:rsidP="00472715">
            <w:pPr>
              <w:spacing w:before="120"/>
              <w:rPr>
                <w:rFonts w:cstheme="minorHAnsi"/>
              </w:rPr>
            </w:pPr>
            <w:r w:rsidRPr="00520C23">
              <w:rPr>
                <w:rFonts w:cstheme="minorHAnsi"/>
              </w:rPr>
              <w:lastRenderedPageBreak/>
              <w:t>The Code adequately addresses recommendation 8.3.</w:t>
            </w:r>
          </w:p>
          <w:p w14:paraId="7E8E497C" w14:textId="0B48D1EB" w:rsidR="00472715" w:rsidRPr="00520C23" w:rsidRDefault="00472715" w:rsidP="00472715">
            <w:pPr>
              <w:spacing w:before="120"/>
              <w:rPr>
                <w:rFonts w:cstheme="minorHAnsi"/>
              </w:rPr>
            </w:pPr>
          </w:p>
        </w:tc>
      </w:tr>
      <w:tr w:rsidR="00EA3C33" w:rsidRPr="00520C23" w14:paraId="42D7A668" w14:textId="77777777" w:rsidTr="00EA3C33">
        <w:tc>
          <w:tcPr>
            <w:tcW w:w="846" w:type="dxa"/>
            <w:shd w:val="clear" w:color="auto" w:fill="auto"/>
          </w:tcPr>
          <w:p w14:paraId="358B85A5" w14:textId="479D83B4" w:rsidR="00472715" w:rsidRPr="00520C23" w:rsidRDefault="00472715" w:rsidP="00472715">
            <w:pPr>
              <w:spacing w:before="120"/>
              <w:jc w:val="center"/>
              <w:rPr>
                <w:rFonts w:cstheme="minorHAnsi"/>
              </w:rPr>
            </w:pPr>
            <w:r w:rsidRPr="00520C23">
              <w:rPr>
                <w:rFonts w:cstheme="minorHAnsi"/>
              </w:rPr>
              <w:t>8.7</w:t>
            </w:r>
          </w:p>
        </w:tc>
        <w:tc>
          <w:tcPr>
            <w:tcW w:w="4819" w:type="dxa"/>
            <w:shd w:val="clear" w:color="auto" w:fill="auto"/>
          </w:tcPr>
          <w:p w14:paraId="4492E5AE" w14:textId="3AADE771" w:rsidR="00472715" w:rsidRPr="00520C23" w:rsidRDefault="00472715" w:rsidP="00472715">
            <w:pPr>
              <w:spacing w:before="120"/>
              <w:rPr>
                <w:rFonts w:cstheme="minorHAnsi"/>
                <w:i/>
                <w:iCs/>
              </w:rPr>
            </w:pPr>
            <w:r w:rsidRPr="00520C23">
              <w:rPr>
                <w:rFonts w:cstheme="minorHAnsi"/>
                <w:i/>
                <w:iCs/>
              </w:rPr>
              <w:t>That the area of vegetation cleared for infrastructure development (well pads, roads and pipeline corridors) be minimised through the efficient design of flowlines and access roads, and where possible, the colocation of shared infrastructure by gas companies.</w:t>
            </w:r>
          </w:p>
        </w:tc>
        <w:tc>
          <w:tcPr>
            <w:tcW w:w="5760" w:type="dxa"/>
            <w:shd w:val="clear" w:color="auto" w:fill="auto"/>
          </w:tcPr>
          <w:p w14:paraId="52821CC6" w14:textId="5BE1C94F" w:rsidR="00472715" w:rsidRPr="00520C23" w:rsidRDefault="00472715" w:rsidP="00472715">
            <w:pPr>
              <w:spacing w:before="120"/>
              <w:rPr>
                <w:rFonts w:cstheme="minorHAnsi"/>
                <w:bCs/>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43"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17D83469" w14:textId="061FAE3E" w:rsidR="00472715" w:rsidRPr="00520C23" w:rsidRDefault="00472715" w:rsidP="00472715">
            <w:pPr>
              <w:spacing w:before="120"/>
              <w:rPr>
                <w:rFonts w:cstheme="minorHAnsi"/>
                <w:b/>
                <w:bCs/>
              </w:rPr>
            </w:pPr>
            <w:r w:rsidRPr="00520C23">
              <w:rPr>
                <w:rFonts w:cstheme="minorHAnsi"/>
                <w:b/>
                <w:bCs/>
              </w:rPr>
              <w:t>Code of Practice</w:t>
            </w:r>
          </w:p>
          <w:p w14:paraId="6A9BC0E6" w14:textId="208E8D87" w:rsidR="00472715" w:rsidRPr="00520C23" w:rsidRDefault="00472715" w:rsidP="00472715">
            <w:pPr>
              <w:spacing w:before="120"/>
              <w:rPr>
                <w:rFonts w:cstheme="minorHAnsi"/>
                <w:bCs/>
                <w:u w:val="single"/>
              </w:rPr>
            </w:pPr>
            <w:r w:rsidRPr="00520C23">
              <w:rPr>
                <w:rFonts w:cstheme="minorHAnsi"/>
                <w:u w:val="single"/>
              </w:rPr>
              <w:t>A.3.1 Site selection and planning</w:t>
            </w:r>
          </w:p>
          <w:p w14:paraId="4C89C777" w14:textId="77777777" w:rsidR="00472715" w:rsidRPr="00520C23" w:rsidRDefault="00472715" w:rsidP="00472715">
            <w:pPr>
              <w:spacing w:before="120"/>
            </w:pPr>
            <w:r w:rsidRPr="00520C23">
              <w:rPr>
                <w:rFonts w:cstheme="minorHAnsi"/>
                <w:bCs/>
              </w:rPr>
              <w:t xml:space="preserve">(b) The following </w:t>
            </w:r>
            <w:r w:rsidRPr="00520C23">
              <w:t>must be demonstrated in regard to the selection of proposed locations:</w:t>
            </w:r>
          </w:p>
          <w:p w14:paraId="71279300" w14:textId="77777777" w:rsidR="00472715" w:rsidRPr="00520C23" w:rsidRDefault="00472715" w:rsidP="00472715">
            <w:pPr>
              <w:spacing w:before="120"/>
            </w:pPr>
            <w:r w:rsidRPr="00520C23">
              <w:t xml:space="preserve">i. landscape and regional scale impacts have been considered and accounted for at the design phase of development and are informed by baseline ecological studies of areas to be disturbed; </w:t>
            </w:r>
          </w:p>
          <w:p w14:paraId="15BB11DB" w14:textId="77777777" w:rsidR="00472715" w:rsidRPr="00520C23" w:rsidRDefault="00472715" w:rsidP="00472715">
            <w:pPr>
              <w:spacing w:before="120"/>
            </w:pPr>
            <w:r w:rsidRPr="00520C23">
              <w:t xml:space="preserve">ii. critical habitats and important habitats are identified and avoided during corridor selection and construction and appropriate controls mechanisms implemented during construction to avoid any impact on them; </w:t>
            </w:r>
          </w:p>
          <w:p w14:paraId="44419A11" w14:textId="32C071FF" w:rsidR="00472715" w:rsidRPr="00520C23" w:rsidRDefault="00472715" w:rsidP="00472715">
            <w:pPr>
              <w:spacing w:before="120"/>
            </w:pPr>
            <w:r w:rsidRPr="00520C23">
              <w:t xml:space="preserve">iii. </w:t>
            </w:r>
            <w:r w:rsidRPr="00520C23">
              <w:rPr>
                <w:b/>
              </w:rPr>
              <w:t>the area of vegetation to be cleared for infrastructure development (including well pads, roads and pipeline corridors) has been minimised through efficient design and where possible, use of existing infrastructure and the co-location of shared infrastructure</w:t>
            </w:r>
            <w:r w:rsidRPr="00520C23">
              <w:t>; and</w:t>
            </w:r>
          </w:p>
          <w:p w14:paraId="6496CC97" w14:textId="5AC4A02C" w:rsidR="00472715" w:rsidRPr="00520C23" w:rsidRDefault="00472715" w:rsidP="00472715">
            <w:pPr>
              <w:spacing w:before="120"/>
              <w:rPr>
                <w:rFonts w:cstheme="minorHAnsi"/>
                <w:b/>
              </w:rPr>
            </w:pPr>
            <w:r w:rsidRPr="00520C23">
              <w:t xml:space="preserve"> iv. potential environmental nuisance has been avoided and minimised.</w:t>
            </w:r>
          </w:p>
        </w:tc>
        <w:tc>
          <w:tcPr>
            <w:tcW w:w="5310" w:type="dxa"/>
            <w:shd w:val="clear" w:color="auto" w:fill="E2EFD9" w:themeFill="accent6" w:themeFillTint="33"/>
          </w:tcPr>
          <w:p w14:paraId="0A2C2A14" w14:textId="0C89087E" w:rsidR="00472715" w:rsidRPr="00520C23" w:rsidRDefault="00472715" w:rsidP="00472715">
            <w:pPr>
              <w:spacing w:before="120"/>
              <w:rPr>
                <w:rFonts w:cstheme="minorHAnsi"/>
              </w:rPr>
            </w:pPr>
            <w:r w:rsidRPr="00520C23">
              <w:rPr>
                <w:rFonts w:cstheme="minorHAnsi"/>
              </w:rPr>
              <w:t>The Code adequately addresses recommendation 8.7.</w:t>
            </w:r>
          </w:p>
          <w:p w14:paraId="0833B5F1" w14:textId="2473D12B" w:rsidR="00472715" w:rsidRPr="00520C23" w:rsidRDefault="00472715" w:rsidP="00472715">
            <w:pPr>
              <w:spacing w:before="120"/>
              <w:rPr>
                <w:rFonts w:cstheme="minorHAnsi"/>
              </w:rPr>
            </w:pPr>
          </w:p>
        </w:tc>
      </w:tr>
      <w:tr w:rsidR="00EA3C33" w:rsidRPr="00520C23" w14:paraId="113524F2" w14:textId="77777777" w:rsidTr="00EA3C33">
        <w:tc>
          <w:tcPr>
            <w:tcW w:w="846" w:type="dxa"/>
            <w:shd w:val="clear" w:color="auto" w:fill="auto"/>
          </w:tcPr>
          <w:p w14:paraId="6617C509" w14:textId="0C90AFE9" w:rsidR="00472715" w:rsidRPr="00520C23" w:rsidRDefault="00472715" w:rsidP="00472715">
            <w:pPr>
              <w:spacing w:before="120"/>
              <w:jc w:val="center"/>
              <w:rPr>
                <w:rFonts w:cstheme="minorHAnsi"/>
              </w:rPr>
            </w:pPr>
            <w:r w:rsidRPr="00520C23">
              <w:rPr>
                <w:rFonts w:cstheme="minorHAnsi"/>
              </w:rPr>
              <w:t>8.8</w:t>
            </w:r>
          </w:p>
        </w:tc>
        <w:tc>
          <w:tcPr>
            <w:tcW w:w="4819" w:type="dxa"/>
            <w:shd w:val="clear" w:color="auto" w:fill="auto"/>
          </w:tcPr>
          <w:p w14:paraId="38EEE1A2" w14:textId="266CEFC6" w:rsidR="00472715" w:rsidRPr="00520C23" w:rsidRDefault="00472715" w:rsidP="00472715">
            <w:pPr>
              <w:spacing w:before="120"/>
              <w:rPr>
                <w:rFonts w:cstheme="minorHAnsi"/>
                <w:i/>
                <w:iCs/>
              </w:rPr>
            </w:pPr>
            <w:r w:rsidRPr="00520C23">
              <w:rPr>
                <w:rFonts w:cstheme="minorHAnsi"/>
                <w:i/>
                <w:iCs/>
              </w:rPr>
              <w:t>That well pads and pipeline corridors be progressively rehabilitated, with native vegetation re-established such that the corridors become ecologically integrated into the surrounding landscape.</w:t>
            </w:r>
          </w:p>
        </w:tc>
        <w:tc>
          <w:tcPr>
            <w:tcW w:w="5760" w:type="dxa"/>
            <w:shd w:val="clear" w:color="auto" w:fill="auto"/>
          </w:tcPr>
          <w:p w14:paraId="3F52C4E4" w14:textId="48C0D6D7" w:rsidR="00472715" w:rsidRPr="00520C23" w:rsidRDefault="00472715" w:rsidP="00472715">
            <w:pPr>
              <w:spacing w:before="120"/>
              <w:rPr>
                <w:rFonts w:cstheme="minorHAnsi"/>
                <w:b/>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44"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3C0D9EE9" w14:textId="62DDEC2A" w:rsidR="00472715" w:rsidRPr="00520C23" w:rsidRDefault="00472715" w:rsidP="00472715">
            <w:pPr>
              <w:spacing w:before="120"/>
              <w:rPr>
                <w:rFonts w:cstheme="minorHAnsi"/>
                <w:b/>
                <w:bCs/>
              </w:rPr>
            </w:pPr>
            <w:r w:rsidRPr="00520C23">
              <w:rPr>
                <w:rFonts w:cstheme="minorHAnsi"/>
                <w:b/>
                <w:bCs/>
              </w:rPr>
              <w:t>Code of Practice</w:t>
            </w:r>
          </w:p>
          <w:p w14:paraId="59D4ADF6" w14:textId="086C4131" w:rsidR="00472715" w:rsidRPr="00520C23" w:rsidRDefault="00472715" w:rsidP="00472715">
            <w:pPr>
              <w:spacing w:before="120"/>
              <w:rPr>
                <w:rFonts w:cstheme="minorHAnsi"/>
                <w:bCs/>
                <w:u w:val="single"/>
              </w:rPr>
            </w:pPr>
            <w:r w:rsidRPr="00520C23">
              <w:rPr>
                <w:rFonts w:cstheme="minorHAnsi"/>
                <w:bCs/>
                <w:u w:val="single"/>
              </w:rPr>
              <w:t>A.3.9 Rehabilitation</w:t>
            </w:r>
          </w:p>
          <w:p w14:paraId="3A994A68" w14:textId="74C6D679" w:rsidR="00472715" w:rsidRPr="00520C23" w:rsidRDefault="00472715" w:rsidP="00472715">
            <w:pPr>
              <w:spacing w:before="120"/>
              <w:rPr>
                <w:rFonts w:cstheme="minorHAnsi"/>
                <w:bCs/>
              </w:rPr>
            </w:pPr>
            <w:r w:rsidRPr="00520C23">
              <w:rPr>
                <w:rFonts w:cstheme="minorHAnsi"/>
                <w:bCs/>
              </w:rPr>
              <w:t>(a) A Rehabilitation Plan must be included as part of an EMP. It must be developed by a suitably qualified person and must include specific environmental outcomes and performance standards (eg, monitoring and reporting requirements).</w:t>
            </w:r>
          </w:p>
          <w:p w14:paraId="126B815E" w14:textId="02010AFA" w:rsidR="00472715" w:rsidRPr="00520C23" w:rsidRDefault="00472715" w:rsidP="00472715">
            <w:pPr>
              <w:spacing w:before="120"/>
              <w:rPr>
                <w:rFonts w:cstheme="minorHAnsi"/>
                <w:bCs/>
              </w:rPr>
            </w:pPr>
            <w:r w:rsidRPr="00520C23">
              <w:rPr>
                <w:rFonts w:cstheme="minorHAnsi"/>
                <w:bCs/>
              </w:rPr>
              <w:lastRenderedPageBreak/>
              <w:t>(b) The Rehabilitation Plan shall be appropriate to the scale and nature of the activity and include:</w:t>
            </w:r>
          </w:p>
          <w:p w14:paraId="0041667A" w14:textId="66365B8C" w:rsidR="00472715" w:rsidRPr="00520C23" w:rsidRDefault="00472715" w:rsidP="00472715">
            <w:pPr>
              <w:spacing w:before="120"/>
              <w:rPr>
                <w:rFonts w:cstheme="minorHAnsi"/>
                <w:bCs/>
              </w:rPr>
            </w:pPr>
            <w:r w:rsidRPr="00520C23">
              <w:rPr>
                <w:rFonts w:cstheme="minorHAnsi"/>
                <w:bCs/>
              </w:rPr>
              <w:t>i. strategies for the determination of final land use(s) and rehabilitation goals and details of how rehabilitation objectives will be achieved;</w:t>
            </w:r>
          </w:p>
          <w:p w14:paraId="6804F736" w14:textId="77777777" w:rsidR="00472715" w:rsidRPr="00520C23" w:rsidRDefault="00472715" w:rsidP="00472715">
            <w:pPr>
              <w:spacing w:before="120"/>
              <w:rPr>
                <w:rFonts w:cstheme="minorHAnsi"/>
                <w:bCs/>
              </w:rPr>
            </w:pPr>
            <w:r w:rsidRPr="00520C23">
              <w:rPr>
                <w:rFonts w:cstheme="minorHAnsi"/>
                <w:bCs/>
              </w:rPr>
              <w:t>ii. a monitoring and maintenance program for reinstated and rehabilitated areas.</w:t>
            </w:r>
          </w:p>
          <w:p w14:paraId="1BE129BE" w14:textId="353D14A5" w:rsidR="00472715" w:rsidRPr="00520C23" w:rsidRDefault="00472715" w:rsidP="00472715">
            <w:pPr>
              <w:spacing w:before="120"/>
              <w:rPr>
                <w:rFonts w:cstheme="minorHAnsi"/>
                <w:bCs/>
              </w:rPr>
            </w:pPr>
            <w:r w:rsidRPr="00520C23">
              <w:rPr>
                <w:rFonts w:cstheme="minorHAnsi"/>
                <w:bCs/>
              </w:rPr>
              <w:t>(c) Progressive rehabilitation of significantly disturbed land which is not required for the ongoing conduct of the petroleum activity(ies) or future activities, must commence as soon as practicable, but not longer than 12 months following the cessation of activities on the land.</w:t>
            </w:r>
          </w:p>
          <w:p w14:paraId="17E29840" w14:textId="2AB105DB" w:rsidR="00472715" w:rsidRPr="00520C23" w:rsidRDefault="00472715" w:rsidP="00472715">
            <w:pPr>
              <w:spacing w:before="120"/>
              <w:rPr>
                <w:rFonts w:cstheme="minorHAnsi"/>
                <w:bCs/>
              </w:rPr>
            </w:pPr>
            <w:r w:rsidRPr="00520C23">
              <w:rPr>
                <w:rFonts w:cstheme="minorHAnsi"/>
                <w:bCs/>
              </w:rPr>
              <w:t xml:space="preserve">(d) </w:t>
            </w:r>
            <w:r w:rsidRPr="00520C23">
              <w:rPr>
                <w:rFonts w:cstheme="minorHAnsi"/>
              </w:rPr>
              <w:t>All significantly disturbed land must be reinstated to its pre-disturbed condition.</w:t>
            </w:r>
            <w:r w:rsidRPr="00520C23">
              <w:rPr>
                <w:rFonts w:cstheme="minorHAnsi"/>
                <w:b/>
              </w:rPr>
              <w:t xml:space="preserve"> For areas that previously contained native vegetation, native vegetation must be re-established such that the corridors become ecologically integrated into the surrounding landscape.</w:t>
            </w:r>
          </w:p>
          <w:p w14:paraId="35FCD89F" w14:textId="5F4803A8" w:rsidR="00472715" w:rsidRPr="00520C23" w:rsidRDefault="00472715" w:rsidP="00472715">
            <w:pPr>
              <w:spacing w:before="120"/>
              <w:rPr>
                <w:rFonts w:cstheme="minorHAnsi"/>
                <w:bCs/>
              </w:rPr>
            </w:pPr>
            <w:r w:rsidRPr="00520C23">
              <w:rPr>
                <w:rFonts w:cstheme="minorHAnsi"/>
                <w:bCs/>
              </w:rPr>
              <w:t>(e) Regular maintenance and at least yearly monitoring of rehabilitated areas must take place to measure compliance with the Rehabilitation Plan.</w:t>
            </w:r>
          </w:p>
          <w:p w14:paraId="65582BC7" w14:textId="306ECEA2" w:rsidR="00472715" w:rsidRPr="00520C23" w:rsidRDefault="00472715" w:rsidP="00472715">
            <w:pPr>
              <w:spacing w:before="120"/>
              <w:rPr>
                <w:rFonts w:cstheme="minorHAnsi"/>
              </w:rPr>
            </w:pPr>
            <w:r w:rsidRPr="00520C23">
              <w:rPr>
                <w:rFonts w:cstheme="minorHAnsi"/>
                <w:bCs/>
              </w:rPr>
              <w:t xml:space="preserve">(f) If contamination is detected, remediation must commence immediately in accordance with the spill management plan and/or emergency contingency plan. </w:t>
            </w:r>
          </w:p>
        </w:tc>
        <w:tc>
          <w:tcPr>
            <w:tcW w:w="5310" w:type="dxa"/>
            <w:shd w:val="clear" w:color="auto" w:fill="E2EFD9" w:themeFill="accent6" w:themeFillTint="33"/>
          </w:tcPr>
          <w:p w14:paraId="253D5C9E" w14:textId="1612A190" w:rsidR="00472715" w:rsidRPr="00520C23" w:rsidRDefault="00472715" w:rsidP="00472715">
            <w:pPr>
              <w:spacing w:before="120"/>
              <w:rPr>
                <w:rFonts w:cstheme="minorHAnsi"/>
              </w:rPr>
            </w:pPr>
            <w:r w:rsidRPr="00520C23">
              <w:rPr>
                <w:rFonts w:cstheme="minorHAnsi"/>
              </w:rPr>
              <w:lastRenderedPageBreak/>
              <w:t>The Code adequately addresses recommendation 8.8.</w:t>
            </w:r>
          </w:p>
          <w:p w14:paraId="0294600B" w14:textId="74100283" w:rsidR="00472715" w:rsidRPr="00520C23" w:rsidRDefault="00472715" w:rsidP="00472715">
            <w:pPr>
              <w:spacing w:before="120"/>
              <w:rPr>
                <w:rFonts w:cstheme="minorHAnsi"/>
              </w:rPr>
            </w:pPr>
          </w:p>
        </w:tc>
      </w:tr>
      <w:tr w:rsidR="00EA3C33" w:rsidRPr="00520C23" w14:paraId="33C69CE8" w14:textId="77777777" w:rsidTr="00EA3C33">
        <w:tc>
          <w:tcPr>
            <w:tcW w:w="846" w:type="dxa"/>
            <w:shd w:val="clear" w:color="auto" w:fill="auto"/>
          </w:tcPr>
          <w:p w14:paraId="434AA80E" w14:textId="25F2D0E0" w:rsidR="00472715" w:rsidRPr="00520C23" w:rsidRDefault="00472715" w:rsidP="00472715">
            <w:pPr>
              <w:spacing w:before="120"/>
              <w:jc w:val="center"/>
              <w:rPr>
                <w:rFonts w:cstheme="minorHAnsi"/>
              </w:rPr>
            </w:pPr>
            <w:r w:rsidRPr="00520C23">
              <w:rPr>
                <w:rFonts w:cstheme="minorHAnsi"/>
              </w:rPr>
              <w:t>8.10</w:t>
            </w:r>
          </w:p>
        </w:tc>
        <w:tc>
          <w:tcPr>
            <w:tcW w:w="4819" w:type="dxa"/>
            <w:shd w:val="clear" w:color="auto" w:fill="auto"/>
          </w:tcPr>
          <w:p w14:paraId="221DE6FF" w14:textId="0A5B96F2" w:rsidR="00472715" w:rsidRPr="00520C23" w:rsidRDefault="00472715" w:rsidP="00472715">
            <w:pPr>
              <w:spacing w:before="120"/>
              <w:rPr>
                <w:rFonts w:cstheme="minorHAnsi"/>
                <w:i/>
                <w:iCs/>
              </w:rPr>
            </w:pPr>
            <w:r w:rsidRPr="00520C23">
              <w:rPr>
                <w:rFonts w:cstheme="minorHAnsi"/>
                <w:i/>
                <w:iCs/>
              </w:rPr>
              <w:t>That gas companies be required to identify critical habitats during corridor construction and select an appropriate mechanism to avoid any impact on them.</w:t>
            </w:r>
          </w:p>
        </w:tc>
        <w:tc>
          <w:tcPr>
            <w:tcW w:w="5760" w:type="dxa"/>
            <w:shd w:val="clear" w:color="auto" w:fill="auto"/>
          </w:tcPr>
          <w:p w14:paraId="70338A2B" w14:textId="07AF1DBA" w:rsidR="00472715" w:rsidRPr="00520C23" w:rsidRDefault="00472715" w:rsidP="00472715">
            <w:pPr>
              <w:spacing w:before="120"/>
              <w:rPr>
                <w:rFonts w:cstheme="minorHAnsi"/>
                <w:b/>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45"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03F9B916" w14:textId="71147C4E" w:rsidR="00472715" w:rsidRPr="00520C23" w:rsidRDefault="00472715" w:rsidP="00472715">
            <w:pPr>
              <w:spacing w:before="120"/>
              <w:rPr>
                <w:rFonts w:cstheme="minorHAnsi"/>
                <w:b/>
                <w:bCs/>
              </w:rPr>
            </w:pPr>
            <w:r w:rsidRPr="00520C23">
              <w:rPr>
                <w:rFonts w:cstheme="minorHAnsi"/>
                <w:b/>
                <w:bCs/>
              </w:rPr>
              <w:t>Code of Practice</w:t>
            </w:r>
          </w:p>
          <w:p w14:paraId="4E1F8C86" w14:textId="492AA49B" w:rsidR="00472715" w:rsidRPr="00520C23" w:rsidRDefault="00472715" w:rsidP="00472715">
            <w:pPr>
              <w:spacing w:before="120"/>
              <w:rPr>
                <w:rFonts w:cstheme="minorHAnsi"/>
                <w:bCs/>
                <w:u w:val="single"/>
              </w:rPr>
            </w:pPr>
            <w:r w:rsidRPr="00520C23">
              <w:rPr>
                <w:rFonts w:cstheme="minorHAnsi"/>
                <w:bCs/>
                <w:u w:val="single"/>
              </w:rPr>
              <w:t>A.3.1 Site selection and planning</w:t>
            </w:r>
          </w:p>
          <w:p w14:paraId="2B5EBFA8" w14:textId="77777777" w:rsidR="00472715" w:rsidRPr="00520C23" w:rsidRDefault="00472715" w:rsidP="00472715">
            <w:pPr>
              <w:spacing w:before="120"/>
              <w:rPr>
                <w:bCs/>
              </w:rPr>
            </w:pPr>
            <w:r w:rsidRPr="00520C23">
              <w:rPr>
                <w:rFonts w:cstheme="minorHAnsi"/>
                <w:bCs/>
              </w:rPr>
              <w:t xml:space="preserve">(b) The following </w:t>
            </w:r>
            <w:r w:rsidRPr="00520C23">
              <w:rPr>
                <w:bCs/>
              </w:rPr>
              <w:t>must be demonstrated in regard to the selection of proposed locations:</w:t>
            </w:r>
          </w:p>
          <w:p w14:paraId="6CEB54BD" w14:textId="77777777" w:rsidR="00472715" w:rsidRPr="00520C23" w:rsidRDefault="00472715" w:rsidP="00472715">
            <w:pPr>
              <w:spacing w:before="120"/>
              <w:rPr>
                <w:bCs/>
              </w:rPr>
            </w:pPr>
            <w:r w:rsidRPr="00520C23">
              <w:rPr>
                <w:bCs/>
              </w:rPr>
              <w:t xml:space="preserve">i. landscape and regional scale impacts have been considered and accounted for at the design phase of development and are informed by baseline ecological studies of areas to be disturbed; </w:t>
            </w:r>
          </w:p>
          <w:p w14:paraId="1B1EC628" w14:textId="77777777" w:rsidR="00472715" w:rsidRPr="00520C23" w:rsidRDefault="00472715" w:rsidP="00472715">
            <w:pPr>
              <w:spacing w:before="120"/>
              <w:rPr>
                <w:bCs/>
              </w:rPr>
            </w:pPr>
            <w:r w:rsidRPr="00520C23">
              <w:rPr>
                <w:bCs/>
              </w:rPr>
              <w:t xml:space="preserve">ii. </w:t>
            </w:r>
            <w:r w:rsidRPr="00520C23">
              <w:rPr>
                <w:b/>
              </w:rPr>
              <w:t>critical habitats and important habitats are identified and avoided during corridor selection and construction and appropriate controls mechanisms implemented during construction to avoid any impact on them</w:t>
            </w:r>
            <w:r w:rsidRPr="00520C23">
              <w:rPr>
                <w:bCs/>
              </w:rPr>
              <w:t xml:space="preserve">; </w:t>
            </w:r>
          </w:p>
          <w:p w14:paraId="06A4AACD" w14:textId="77777777" w:rsidR="00472715" w:rsidRPr="00520C23" w:rsidRDefault="00472715" w:rsidP="00472715">
            <w:pPr>
              <w:spacing w:before="120"/>
              <w:rPr>
                <w:bCs/>
              </w:rPr>
            </w:pPr>
            <w:r w:rsidRPr="00520C23">
              <w:rPr>
                <w:bCs/>
              </w:rPr>
              <w:t>iii. the area of vegetation to be cleared for infrastructure development (including well pads, roads and pipeline corridors) has been minimised through efficient design and where possible, use of existing infrastructure and the co-location of shared infrastructure; and</w:t>
            </w:r>
          </w:p>
          <w:p w14:paraId="0448830B" w14:textId="0B16D2AA" w:rsidR="00472715" w:rsidRPr="00520C23" w:rsidRDefault="00472715" w:rsidP="00472715">
            <w:pPr>
              <w:spacing w:before="120"/>
            </w:pPr>
            <w:r w:rsidRPr="00520C23">
              <w:rPr>
                <w:bCs/>
              </w:rPr>
              <w:t xml:space="preserve"> iv. potential environmental nuisance has been avoided and minimised.</w:t>
            </w:r>
            <w:r w:rsidRPr="00520C23">
              <w:rPr>
                <w:rFonts w:cstheme="minorHAnsi"/>
                <w:bCs/>
              </w:rPr>
              <w:t xml:space="preserve"> </w:t>
            </w:r>
          </w:p>
        </w:tc>
        <w:tc>
          <w:tcPr>
            <w:tcW w:w="5310" w:type="dxa"/>
            <w:shd w:val="clear" w:color="auto" w:fill="E2EFD9" w:themeFill="accent6" w:themeFillTint="33"/>
          </w:tcPr>
          <w:p w14:paraId="511CF43F" w14:textId="5B5596E4" w:rsidR="00472715" w:rsidRPr="00520C23" w:rsidRDefault="00472715" w:rsidP="00472715">
            <w:pPr>
              <w:spacing w:before="120"/>
              <w:rPr>
                <w:rFonts w:cstheme="minorHAnsi"/>
              </w:rPr>
            </w:pPr>
            <w:r w:rsidRPr="00520C23">
              <w:rPr>
                <w:rFonts w:cstheme="minorHAnsi"/>
              </w:rPr>
              <w:t>The Code adequately addresses recommendation 8.10.</w:t>
            </w:r>
          </w:p>
          <w:p w14:paraId="6CD7F45E" w14:textId="26C43B20" w:rsidR="00472715" w:rsidRPr="00520C23" w:rsidRDefault="00472715" w:rsidP="00472715">
            <w:pPr>
              <w:spacing w:before="120"/>
              <w:rPr>
                <w:rFonts w:cstheme="minorHAnsi"/>
              </w:rPr>
            </w:pPr>
          </w:p>
        </w:tc>
      </w:tr>
      <w:tr w:rsidR="00EA3C33" w:rsidRPr="00520C23" w14:paraId="5857E425" w14:textId="77777777" w:rsidTr="00EA3C33">
        <w:tc>
          <w:tcPr>
            <w:tcW w:w="846" w:type="dxa"/>
            <w:shd w:val="clear" w:color="auto" w:fill="auto"/>
          </w:tcPr>
          <w:p w14:paraId="657E3357" w14:textId="6F7676EA" w:rsidR="00472715" w:rsidRPr="00520C23" w:rsidRDefault="00472715" w:rsidP="00472715">
            <w:pPr>
              <w:spacing w:before="120"/>
              <w:jc w:val="center"/>
              <w:rPr>
                <w:rFonts w:cstheme="minorHAnsi"/>
              </w:rPr>
            </w:pPr>
            <w:r w:rsidRPr="00520C23">
              <w:rPr>
                <w:rFonts w:cstheme="minorHAnsi"/>
              </w:rPr>
              <w:t>8.11</w:t>
            </w:r>
          </w:p>
        </w:tc>
        <w:tc>
          <w:tcPr>
            <w:tcW w:w="4819" w:type="dxa"/>
            <w:shd w:val="clear" w:color="auto" w:fill="auto"/>
          </w:tcPr>
          <w:p w14:paraId="35848040" w14:textId="4414362F" w:rsidR="00472715" w:rsidRPr="00520C23" w:rsidRDefault="00472715" w:rsidP="00472715">
            <w:pPr>
              <w:spacing w:before="120"/>
              <w:rPr>
                <w:rFonts w:cstheme="minorHAnsi"/>
                <w:i/>
                <w:iCs/>
              </w:rPr>
            </w:pPr>
            <w:r w:rsidRPr="00520C23">
              <w:rPr>
                <w:rFonts w:cstheme="minorHAnsi"/>
                <w:i/>
                <w:iCs/>
              </w:rPr>
              <w:t xml:space="preserve">That clearing for corridors, well pads and other operational areas be kept to a minimum, that pipelines and other linear infrastructure be buried </w:t>
            </w:r>
            <w:r w:rsidRPr="00520C23">
              <w:rPr>
                <w:rFonts w:cstheme="minorHAnsi"/>
                <w:i/>
                <w:iCs/>
              </w:rPr>
              <w:lastRenderedPageBreak/>
              <w:t>(except for necessary inspection points), and that all disturbed ground be revegetated.</w:t>
            </w:r>
          </w:p>
        </w:tc>
        <w:tc>
          <w:tcPr>
            <w:tcW w:w="5760" w:type="dxa"/>
            <w:shd w:val="clear" w:color="auto" w:fill="auto"/>
          </w:tcPr>
          <w:p w14:paraId="3738E374" w14:textId="42B0F1A1" w:rsidR="00472715" w:rsidRPr="00520C23" w:rsidRDefault="00472715" w:rsidP="00472715">
            <w:pPr>
              <w:spacing w:before="120"/>
              <w:rPr>
                <w:rFonts w:cstheme="minorHAnsi"/>
                <w:b/>
              </w:rPr>
            </w:pPr>
            <w:r w:rsidRPr="00520C23">
              <w:rPr>
                <w:rFonts w:cstheme="minorHAnsi"/>
                <w:bCs/>
              </w:rPr>
              <w:lastRenderedPageBreak/>
              <w:t xml:space="preserve">The Northern Territory Government worked with independent scientific experts to develop a Code of Practice relative to the Inquiry's recommendation. The Code is legally </w:t>
            </w:r>
            <w:r w:rsidRPr="00520C23">
              <w:rPr>
                <w:rFonts w:cstheme="minorHAnsi"/>
                <w:bCs/>
              </w:rPr>
              <w:lastRenderedPageBreak/>
              <w:t>enforceable through the Petroleum (Environment) Regulations 2016. The finalised </w:t>
            </w:r>
            <w:hyperlink r:id="rId46"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08FD75EB" w14:textId="2E65DAC8" w:rsidR="00472715" w:rsidRPr="00520C23" w:rsidRDefault="00472715" w:rsidP="00472715">
            <w:pPr>
              <w:spacing w:before="120"/>
              <w:rPr>
                <w:b/>
                <w:bCs/>
              </w:rPr>
            </w:pPr>
            <w:r w:rsidRPr="00520C23">
              <w:rPr>
                <w:b/>
                <w:bCs/>
              </w:rPr>
              <w:lastRenderedPageBreak/>
              <w:t>Code of Practice</w:t>
            </w:r>
          </w:p>
          <w:p w14:paraId="27E91489" w14:textId="39F1B6C5" w:rsidR="00472715" w:rsidRPr="00520C23" w:rsidRDefault="00472715" w:rsidP="00472715">
            <w:pPr>
              <w:spacing w:before="120"/>
              <w:rPr>
                <w:u w:val="single"/>
              </w:rPr>
            </w:pPr>
            <w:r w:rsidRPr="00520C23">
              <w:rPr>
                <w:u w:val="single"/>
              </w:rPr>
              <w:t>A.3.1 Site selection and planning</w:t>
            </w:r>
          </w:p>
          <w:p w14:paraId="14F4E2AA" w14:textId="77777777" w:rsidR="00472715" w:rsidRPr="00520C23" w:rsidRDefault="00472715" w:rsidP="00472715">
            <w:pPr>
              <w:spacing w:before="120"/>
              <w:rPr>
                <w:bCs/>
                <w:i/>
                <w:iCs/>
              </w:rPr>
            </w:pPr>
            <w:r w:rsidRPr="00520C23">
              <w:rPr>
                <w:i/>
                <w:iCs/>
              </w:rPr>
              <w:lastRenderedPageBreak/>
              <w:t xml:space="preserve">(e) </w:t>
            </w:r>
            <w:r w:rsidRPr="00520C23">
              <w:rPr>
                <w:b/>
                <w:i/>
                <w:iCs/>
              </w:rPr>
              <w:t>Pipelines and ancillary services must be buried except for the following:</w:t>
            </w:r>
            <w:r w:rsidRPr="00520C23">
              <w:rPr>
                <w:bCs/>
                <w:i/>
                <w:iCs/>
              </w:rPr>
              <w:t xml:space="preserve"> </w:t>
            </w:r>
          </w:p>
          <w:p w14:paraId="005FB35C" w14:textId="77777777" w:rsidR="00472715" w:rsidRPr="00520C23" w:rsidRDefault="00472715" w:rsidP="00472715">
            <w:pPr>
              <w:spacing w:before="120"/>
              <w:rPr>
                <w:bCs/>
                <w:i/>
                <w:iCs/>
              </w:rPr>
            </w:pPr>
            <w:r w:rsidRPr="00520C23">
              <w:rPr>
                <w:bCs/>
                <w:i/>
                <w:iCs/>
              </w:rPr>
              <w:t xml:space="preserve">i. temporary infrastructure; </w:t>
            </w:r>
          </w:p>
          <w:p w14:paraId="61F6BAED" w14:textId="77777777" w:rsidR="00472715" w:rsidRPr="00520C23" w:rsidRDefault="00472715" w:rsidP="00472715">
            <w:pPr>
              <w:spacing w:before="120"/>
              <w:rPr>
                <w:bCs/>
                <w:i/>
                <w:iCs/>
              </w:rPr>
            </w:pPr>
            <w:r w:rsidRPr="00520C23">
              <w:rPr>
                <w:bCs/>
                <w:i/>
                <w:iCs/>
              </w:rPr>
              <w:t xml:space="preserve">ii. infrastructure located on well pads; </w:t>
            </w:r>
          </w:p>
          <w:p w14:paraId="3434AE8A" w14:textId="2DC9B753" w:rsidR="00472715" w:rsidRPr="00520C23" w:rsidRDefault="00472715" w:rsidP="00472715">
            <w:pPr>
              <w:spacing w:before="120"/>
              <w:rPr>
                <w:bCs/>
                <w:i/>
                <w:iCs/>
              </w:rPr>
            </w:pPr>
            <w:r w:rsidRPr="00520C23">
              <w:rPr>
                <w:bCs/>
                <w:i/>
                <w:iCs/>
              </w:rPr>
              <w:t>iii. where it is necessary for inspection; or</w:t>
            </w:r>
          </w:p>
          <w:p w14:paraId="3D30771B" w14:textId="7FB3EA69" w:rsidR="00472715" w:rsidRPr="00520C23" w:rsidRDefault="00472715" w:rsidP="00472715">
            <w:pPr>
              <w:spacing w:before="120"/>
              <w:rPr>
                <w:bCs/>
                <w:i/>
                <w:iCs/>
              </w:rPr>
            </w:pPr>
            <w:r w:rsidRPr="00520C23">
              <w:rPr>
                <w:bCs/>
                <w:i/>
                <w:iCs/>
              </w:rPr>
              <w:t>iv. where burial would not reduce environmental risks or environmental impacts from the infrastructure to levels which are ALARP and acceptable, as demonstrated in the EMP.</w:t>
            </w:r>
          </w:p>
          <w:p w14:paraId="39224FB6" w14:textId="33C58FF5" w:rsidR="00472715" w:rsidRPr="00520C23" w:rsidRDefault="00472715" w:rsidP="00472715">
            <w:pPr>
              <w:spacing w:before="120"/>
              <w:rPr>
                <w:rFonts w:cstheme="minorHAnsi"/>
                <w:bCs/>
                <w:u w:val="single"/>
              </w:rPr>
            </w:pPr>
            <w:r w:rsidRPr="00520C23">
              <w:rPr>
                <w:rFonts w:cstheme="minorHAnsi"/>
                <w:bCs/>
                <w:u w:val="single"/>
              </w:rPr>
              <w:t>A.3.5 Biodiversity protection</w:t>
            </w:r>
          </w:p>
          <w:p w14:paraId="75C9D430" w14:textId="1FC53CB7" w:rsidR="00472715" w:rsidRPr="00520C23" w:rsidRDefault="00472715" w:rsidP="00472715">
            <w:pPr>
              <w:spacing w:before="120"/>
              <w:rPr>
                <w:rFonts w:cstheme="minorHAnsi"/>
                <w:bCs/>
              </w:rPr>
            </w:pPr>
            <w:r w:rsidRPr="00520C23">
              <w:rPr>
                <w:rFonts w:cstheme="minorHAnsi"/>
                <w:bCs/>
              </w:rPr>
              <w:t>Surface activities must be undertaken in a manner that avoids and minimises environmental risks and environmental impacts to flora and fauna, critical habitat and important habitat to ALARP and acceptable in accordance the Land Clearing Guidelines as published on the DENR website and amended from time to time and the following:</w:t>
            </w:r>
          </w:p>
          <w:p w14:paraId="1A12E273" w14:textId="1387DA73" w:rsidR="00472715" w:rsidRPr="00520C23" w:rsidRDefault="00472715" w:rsidP="00472715">
            <w:pPr>
              <w:spacing w:before="120"/>
              <w:rPr>
                <w:rFonts w:cstheme="minorHAnsi"/>
                <w:bCs/>
                <w:i/>
                <w:iCs/>
              </w:rPr>
            </w:pPr>
            <w:r w:rsidRPr="00520C23">
              <w:rPr>
                <w:rFonts w:cstheme="minorHAnsi"/>
                <w:bCs/>
                <w:i/>
                <w:iCs/>
              </w:rPr>
              <w:t xml:space="preserve">(a) </w:t>
            </w:r>
            <w:r w:rsidRPr="00520C23">
              <w:rPr>
                <w:rFonts w:cstheme="minorHAnsi"/>
                <w:b/>
                <w:i/>
                <w:iCs/>
              </w:rPr>
              <w:t>Land clearing for corridors, well pads and other operational areas must be kept to a minimum;</w:t>
            </w:r>
          </w:p>
          <w:p w14:paraId="6186073A" w14:textId="77777777" w:rsidR="00472715" w:rsidRPr="00520C23" w:rsidRDefault="00472715" w:rsidP="00472715">
            <w:pPr>
              <w:spacing w:before="120"/>
              <w:rPr>
                <w:rFonts w:cstheme="minorHAnsi"/>
                <w:bCs/>
                <w:i/>
                <w:iCs/>
              </w:rPr>
            </w:pPr>
            <w:r w:rsidRPr="00520C23">
              <w:rPr>
                <w:rFonts w:cstheme="minorHAnsi"/>
                <w:bCs/>
                <w:i/>
                <w:iCs/>
              </w:rPr>
              <w:t>(b) All infrastructure stream crossings must provide for appropriate fauna passage;</w:t>
            </w:r>
          </w:p>
          <w:p w14:paraId="5A2A0C8B" w14:textId="6AE1DC31" w:rsidR="00472715" w:rsidRPr="00520C23" w:rsidRDefault="00472715" w:rsidP="00472715">
            <w:pPr>
              <w:spacing w:before="120"/>
              <w:rPr>
                <w:rFonts w:cstheme="minorHAnsi"/>
                <w:bCs/>
                <w:i/>
                <w:iCs/>
              </w:rPr>
            </w:pPr>
            <w:r w:rsidRPr="00520C23">
              <w:rPr>
                <w:rFonts w:cstheme="minorHAnsi"/>
                <w:bCs/>
                <w:i/>
                <w:iCs/>
              </w:rPr>
              <w:t>(c) Where environmental impacts and environmental risks to flora and fauna are unable to be avoided or adequately mitigated by other means, the residual impacts must be offset in accordance with the Northern Territory and/ or Australian Government policy relating to environmental offsets in effect from time to time (if any).</w:t>
            </w:r>
          </w:p>
          <w:p w14:paraId="603AB796" w14:textId="77777777" w:rsidR="00472715" w:rsidRPr="00520C23" w:rsidRDefault="00472715" w:rsidP="00472715">
            <w:pPr>
              <w:spacing w:before="120"/>
              <w:rPr>
                <w:rFonts w:cstheme="minorHAnsi"/>
                <w:bCs/>
                <w:i/>
                <w:iCs/>
              </w:rPr>
            </w:pPr>
            <w:r w:rsidRPr="00520C23">
              <w:rPr>
                <w:rFonts w:cstheme="minorHAnsi"/>
                <w:bCs/>
                <w:i/>
                <w:iCs/>
              </w:rPr>
              <w:t>The Implementation Strategy required under Schedule 1 cl. 11 of the PER must provide for records of the nature, location and extent of disturbance of flora and fauna including geospatial information depicting areas cleared to be provided to the Minister.</w:t>
            </w:r>
          </w:p>
          <w:p w14:paraId="275C2D61" w14:textId="77777777" w:rsidR="00472715" w:rsidRPr="00520C23" w:rsidRDefault="00472715" w:rsidP="00472715">
            <w:pPr>
              <w:spacing w:before="120"/>
              <w:rPr>
                <w:rFonts w:cstheme="minorHAnsi"/>
                <w:bCs/>
              </w:rPr>
            </w:pPr>
          </w:p>
          <w:p w14:paraId="16459E8F" w14:textId="77777777" w:rsidR="00472715" w:rsidRPr="00520C23" w:rsidRDefault="00472715" w:rsidP="00472715">
            <w:pPr>
              <w:spacing w:before="120"/>
              <w:rPr>
                <w:rFonts w:cstheme="minorHAnsi"/>
                <w:bCs/>
                <w:u w:val="single"/>
              </w:rPr>
            </w:pPr>
            <w:r w:rsidRPr="00520C23">
              <w:rPr>
                <w:rFonts w:cstheme="minorHAnsi"/>
                <w:bCs/>
                <w:u w:val="single"/>
              </w:rPr>
              <w:t>A.3.9 Rehabilitation</w:t>
            </w:r>
          </w:p>
          <w:p w14:paraId="07E08FE5" w14:textId="77777777" w:rsidR="00472715" w:rsidRPr="00520C23" w:rsidRDefault="00472715" w:rsidP="00472715">
            <w:pPr>
              <w:spacing w:before="120"/>
              <w:rPr>
                <w:rFonts w:cstheme="minorHAnsi"/>
                <w:bCs/>
                <w:i/>
                <w:iCs/>
              </w:rPr>
            </w:pPr>
            <w:r w:rsidRPr="00520C23">
              <w:rPr>
                <w:rFonts w:cstheme="minorHAnsi"/>
                <w:bCs/>
                <w:i/>
                <w:iCs/>
              </w:rPr>
              <w:t>(a) A Rehabilitation Plan must be included as part of an EMP. It must be developed by a suitably qualified person and must include specific environmental outcomes and performance standards (eg, monitoring and reporting requirements).</w:t>
            </w:r>
          </w:p>
          <w:p w14:paraId="4CFD03A8" w14:textId="77777777" w:rsidR="00472715" w:rsidRPr="00520C23" w:rsidRDefault="00472715" w:rsidP="00472715">
            <w:pPr>
              <w:spacing w:before="120"/>
              <w:rPr>
                <w:rFonts w:cstheme="minorHAnsi"/>
                <w:bCs/>
                <w:i/>
                <w:iCs/>
              </w:rPr>
            </w:pPr>
            <w:r w:rsidRPr="00520C23">
              <w:rPr>
                <w:rFonts w:cstheme="minorHAnsi"/>
                <w:bCs/>
                <w:i/>
                <w:iCs/>
              </w:rPr>
              <w:t>(b) The Rehabilitation Plan shall be appropriate to the scale and nature of the activity and include:</w:t>
            </w:r>
          </w:p>
          <w:p w14:paraId="2182181A" w14:textId="77777777" w:rsidR="00472715" w:rsidRPr="00520C23" w:rsidRDefault="00472715" w:rsidP="00472715">
            <w:pPr>
              <w:spacing w:before="120"/>
              <w:rPr>
                <w:rFonts w:cstheme="minorHAnsi"/>
                <w:bCs/>
                <w:i/>
                <w:iCs/>
              </w:rPr>
            </w:pPr>
            <w:r w:rsidRPr="00520C23">
              <w:rPr>
                <w:rFonts w:cstheme="minorHAnsi"/>
                <w:bCs/>
                <w:i/>
                <w:iCs/>
              </w:rPr>
              <w:t>i. strategies for the determination of final land use(s) and rehabilitation goals and details of how rehabilitation objectives will be achieved;</w:t>
            </w:r>
          </w:p>
          <w:p w14:paraId="16E36FA5" w14:textId="77777777" w:rsidR="00472715" w:rsidRPr="00520C23" w:rsidRDefault="00472715" w:rsidP="00472715">
            <w:pPr>
              <w:spacing w:before="120"/>
              <w:rPr>
                <w:rFonts w:cstheme="minorHAnsi"/>
                <w:bCs/>
                <w:i/>
                <w:iCs/>
              </w:rPr>
            </w:pPr>
            <w:r w:rsidRPr="00520C23">
              <w:rPr>
                <w:rFonts w:cstheme="minorHAnsi"/>
                <w:bCs/>
                <w:i/>
                <w:iCs/>
              </w:rPr>
              <w:lastRenderedPageBreak/>
              <w:t>ii. a monitoring and maintenance program for reinstated and rehabilitated areas.</w:t>
            </w:r>
          </w:p>
          <w:p w14:paraId="2E3ECA62" w14:textId="77777777" w:rsidR="00472715" w:rsidRPr="00520C23" w:rsidRDefault="00472715" w:rsidP="00472715">
            <w:pPr>
              <w:spacing w:before="120"/>
              <w:rPr>
                <w:rFonts w:cstheme="minorHAnsi"/>
                <w:bCs/>
                <w:i/>
                <w:iCs/>
              </w:rPr>
            </w:pPr>
            <w:r w:rsidRPr="00520C23">
              <w:rPr>
                <w:rFonts w:cstheme="minorHAnsi"/>
                <w:bCs/>
                <w:i/>
                <w:iCs/>
              </w:rPr>
              <w:t>(c) Progressive rehabilitation of significantly disturbed land which is not required for the ongoing conduct of the petroleum activity(ies) or future activities, must commence as soon as practicable, but not longer than 12 months following the cessation of activities on the land.</w:t>
            </w:r>
          </w:p>
          <w:p w14:paraId="39E6E958" w14:textId="77777777" w:rsidR="00472715" w:rsidRPr="00520C23" w:rsidRDefault="00472715" w:rsidP="00472715">
            <w:pPr>
              <w:spacing w:before="120"/>
              <w:rPr>
                <w:rFonts w:cstheme="minorHAnsi"/>
                <w:b/>
                <w:i/>
                <w:iCs/>
              </w:rPr>
            </w:pPr>
            <w:r w:rsidRPr="00520C23">
              <w:rPr>
                <w:rFonts w:cstheme="minorHAnsi"/>
                <w:bCs/>
                <w:i/>
                <w:iCs/>
              </w:rPr>
              <w:t xml:space="preserve">(d) </w:t>
            </w:r>
            <w:r w:rsidRPr="00520C23">
              <w:rPr>
                <w:rFonts w:cstheme="minorHAnsi"/>
                <w:b/>
                <w:i/>
                <w:iCs/>
              </w:rPr>
              <w:t>All significantly disturbed land must be reinstated to its pre-disturbed condition. For areas that previously contained native vegetation, native vegetation must be re-established such that the corridors become ecologically integrated into the surrounding landscape.</w:t>
            </w:r>
          </w:p>
          <w:p w14:paraId="6A92A357" w14:textId="77777777" w:rsidR="00472715" w:rsidRPr="00520C23" w:rsidRDefault="00472715" w:rsidP="00472715">
            <w:pPr>
              <w:spacing w:before="120"/>
              <w:rPr>
                <w:rFonts w:cstheme="minorHAnsi"/>
                <w:bCs/>
                <w:i/>
                <w:iCs/>
              </w:rPr>
            </w:pPr>
            <w:r w:rsidRPr="00520C23">
              <w:rPr>
                <w:rFonts w:cstheme="minorHAnsi"/>
                <w:bCs/>
                <w:i/>
                <w:iCs/>
              </w:rPr>
              <w:t>(e) Regular maintenance and at least yearly monitoring of rehabilitated areas must take place to measure compliance with the Rehabilitation Plan.</w:t>
            </w:r>
          </w:p>
          <w:p w14:paraId="1C7AA891" w14:textId="1EF6612C" w:rsidR="00472715" w:rsidRPr="00520C23" w:rsidRDefault="00472715" w:rsidP="00472715">
            <w:pPr>
              <w:spacing w:before="120"/>
              <w:rPr>
                <w:rFonts w:cstheme="minorHAnsi"/>
                <w:b/>
              </w:rPr>
            </w:pPr>
            <w:r w:rsidRPr="00520C23">
              <w:rPr>
                <w:rFonts w:cstheme="minorHAnsi"/>
                <w:bCs/>
                <w:i/>
                <w:iCs/>
              </w:rPr>
              <w:t>(f) If contamination is detected, remediation must commence immediately in accordance with the spill management plan and/or emergency contingency plan.</w:t>
            </w:r>
          </w:p>
        </w:tc>
        <w:tc>
          <w:tcPr>
            <w:tcW w:w="5310" w:type="dxa"/>
            <w:shd w:val="clear" w:color="auto" w:fill="E2EFD9" w:themeFill="accent6" w:themeFillTint="33"/>
          </w:tcPr>
          <w:p w14:paraId="5EB3CE54" w14:textId="653AE763" w:rsidR="00472715" w:rsidRPr="00520C23" w:rsidRDefault="00472715" w:rsidP="00472715">
            <w:pPr>
              <w:spacing w:before="120"/>
              <w:rPr>
                <w:rFonts w:cstheme="minorHAnsi"/>
              </w:rPr>
            </w:pPr>
            <w:r w:rsidRPr="00520C23">
              <w:rPr>
                <w:rFonts w:cstheme="minorHAnsi"/>
              </w:rPr>
              <w:lastRenderedPageBreak/>
              <w:t>The Code largely addresses recommendation 8.11.</w:t>
            </w:r>
          </w:p>
          <w:p w14:paraId="3F93073F" w14:textId="77777777" w:rsidR="00472715" w:rsidRPr="00520C23" w:rsidRDefault="00472715" w:rsidP="00472715">
            <w:pPr>
              <w:spacing w:before="120"/>
              <w:rPr>
                <w:rFonts w:cstheme="minorHAnsi"/>
                <w:i/>
                <w:iCs/>
                <w:u w:val="single"/>
              </w:rPr>
            </w:pPr>
            <w:r w:rsidRPr="00520C23">
              <w:rPr>
                <w:rFonts w:cstheme="minorHAnsi"/>
                <w:i/>
                <w:iCs/>
                <w:u w:val="single"/>
              </w:rPr>
              <w:t>Comments</w:t>
            </w:r>
          </w:p>
          <w:p w14:paraId="28A18AD5" w14:textId="63FD7069" w:rsidR="00472715" w:rsidRPr="00520C23" w:rsidRDefault="00472715" w:rsidP="00472715">
            <w:pPr>
              <w:pStyle w:val="ListParagraph"/>
              <w:numPr>
                <w:ilvl w:val="2"/>
                <w:numId w:val="81"/>
              </w:numPr>
              <w:spacing w:before="120"/>
              <w:ind w:hanging="360"/>
              <w:rPr>
                <w:rFonts w:cstheme="minorHAnsi"/>
                <w:i/>
                <w:iCs/>
                <w:u w:val="single"/>
              </w:rPr>
            </w:pPr>
            <w:r w:rsidRPr="00520C23">
              <w:rPr>
                <w:rFonts w:cstheme="minorHAnsi"/>
              </w:rPr>
              <w:lastRenderedPageBreak/>
              <w:t xml:space="preserve">The requirement that “all disturbed ground be revegetated” may not be met, as Section A.3.9 of the Code describes that “all </w:t>
            </w:r>
            <w:r w:rsidRPr="00520C23">
              <w:rPr>
                <w:rFonts w:cstheme="minorHAnsi"/>
                <w:i/>
                <w:iCs/>
              </w:rPr>
              <w:t xml:space="preserve">significantly </w:t>
            </w:r>
            <w:r w:rsidRPr="00520C23">
              <w:rPr>
                <w:rFonts w:cstheme="minorHAnsi"/>
              </w:rPr>
              <w:t>disturbed land” must be reinstated to its pre-disturbed conditions.</w:t>
            </w:r>
          </w:p>
        </w:tc>
      </w:tr>
      <w:tr w:rsidR="00EA3C33" w:rsidRPr="00520C23" w14:paraId="68D3FD73" w14:textId="77777777" w:rsidTr="00EA3C33">
        <w:tc>
          <w:tcPr>
            <w:tcW w:w="846" w:type="dxa"/>
            <w:shd w:val="clear" w:color="auto" w:fill="auto"/>
          </w:tcPr>
          <w:p w14:paraId="00EDBF07" w14:textId="2A1AE7CF" w:rsidR="00472715" w:rsidRPr="00520C23" w:rsidRDefault="00472715" w:rsidP="00472715">
            <w:pPr>
              <w:spacing w:before="120"/>
              <w:jc w:val="center"/>
              <w:rPr>
                <w:rFonts w:cstheme="minorHAnsi"/>
              </w:rPr>
            </w:pPr>
            <w:r w:rsidRPr="00520C23">
              <w:rPr>
                <w:rFonts w:cstheme="minorHAnsi"/>
              </w:rPr>
              <w:lastRenderedPageBreak/>
              <w:t>8.12</w:t>
            </w:r>
          </w:p>
        </w:tc>
        <w:tc>
          <w:tcPr>
            <w:tcW w:w="4819" w:type="dxa"/>
            <w:shd w:val="clear" w:color="auto" w:fill="auto"/>
          </w:tcPr>
          <w:p w14:paraId="3BC6275D" w14:textId="73B151A0" w:rsidR="00472715" w:rsidRPr="00520C23" w:rsidRDefault="00472715" w:rsidP="00472715">
            <w:pPr>
              <w:spacing w:before="120"/>
              <w:rPr>
                <w:rFonts w:cstheme="minorHAnsi"/>
                <w:i/>
                <w:iCs/>
              </w:rPr>
            </w:pPr>
            <w:r w:rsidRPr="00520C23">
              <w:rPr>
                <w:rFonts w:cstheme="minorHAnsi"/>
                <w:i/>
                <w:iCs/>
              </w:rPr>
              <w:t>That directional drilling under stream crossings be used in preference to trenching unless geomorphic and hydrological investigations confirm that trenching will have no adverse impact on water flow patterns and waterhole water retention timing.</w:t>
            </w:r>
          </w:p>
        </w:tc>
        <w:tc>
          <w:tcPr>
            <w:tcW w:w="5760" w:type="dxa"/>
            <w:shd w:val="clear" w:color="auto" w:fill="auto"/>
          </w:tcPr>
          <w:p w14:paraId="3BE100FD" w14:textId="14800A46" w:rsidR="00472715" w:rsidRPr="00520C23" w:rsidRDefault="00472715" w:rsidP="00472715">
            <w:pPr>
              <w:spacing w:before="120"/>
              <w:rPr>
                <w:rFonts w:cstheme="minorHAnsi"/>
                <w:b/>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47"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093838BA" w14:textId="04475FCD" w:rsidR="00472715" w:rsidRPr="00520C23" w:rsidRDefault="00472715" w:rsidP="00472715">
            <w:pPr>
              <w:spacing w:before="120"/>
              <w:rPr>
                <w:rFonts w:cstheme="minorHAnsi"/>
                <w:b/>
                <w:bCs/>
              </w:rPr>
            </w:pPr>
            <w:r w:rsidRPr="00520C23">
              <w:rPr>
                <w:rFonts w:cstheme="minorHAnsi"/>
                <w:b/>
                <w:bCs/>
              </w:rPr>
              <w:t>Code of Practice</w:t>
            </w:r>
          </w:p>
          <w:p w14:paraId="692F727C" w14:textId="7318606D" w:rsidR="00472715" w:rsidRPr="00520C23" w:rsidRDefault="00472715" w:rsidP="00472715">
            <w:pPr>
              <w:spacing w:before="120"/>
              <w:rPr>
                <w:rFonts w:cstheme="minorHAnsi"/>
                <w:bCs/>
                <w:u w:val="single"/>
              </w:rPr>
            </w:pPr>
            <w:r w:rsidRPr="00520C23">
              <w:rPr>
                <w:rFonts w:cstheme="minorHAnsi"/>
                <w:bCs/>
                <w:u w:val="single"/>
              </w:rPr>
              <w:t>A.3.4 Erosion and sediment control and hydrology</w:t>
            </w:r>
          </w:p>
          <w:p w14:paraId="41EFC5EC" w14:textId="5B158C9D" w:rsidR="00472715" w:rsidRPr="00520C23" w:rsidRDefault="00472715" w:rsidP="00472715">
            <w:pPr>
              <w:pStyle w:val="ListParagraph"/>
              <w:numPr>
                <w:ilvl w:val="0"/>
                <w:numId w:val="39"/>
              </w:numPr>
              <w:spacing w:before="120"/>
              <w:ind w:left="527"/>
              <w:rPr>
                <w:rFonts w:cstheme="minorHAnsi"/>
                <w:b/>
                <w:i/>
                <w:iCs/>
              </w:rPr>
            </w:pPr>
            <w:r w:rsidRPr="00520C23">
              <w:rPr>
                <w:rFonts w:cstheme="minorHAnsi"/>
                <w:bCs/>
                <w:i/>
                <w:iCs/>
              </w:rPr>
              <w:t>Directional drilling under waterway crossings must be used in preference to trenching for all buried infrastructure unless geomorphic and hydrological investigations confirm that trenching will have no adverse impact on water flow patterns and waterhole water retention timing.</w:t>
            </w:r>
          </w:p>
        </w:tc>
        <w:tc>
          <w:tcPr>
            <w:tcW w:w="5310" w:type="dxa"/>
            <w:shd w:val="clear" w:color="auto" w:fill="E2EFD9" w:themeFill="accent6" w:themeFillTint="33"/>
          </w:tcPr>
          <w:p w14:paraId="2688CAAC" w14:textId="462CECD5" w:rsidR="00472715" w:rsidRPr="00520C23" w:rsidRDefault="00472715" w:rsidP="00472715">
            <w:pPr>
              <w:spacing w:before="120"/>
              <w:rPr>
                <w:rFonts w:cstheme="minorHAnsi"/>
              </w:rPr>
            </w:pPr>
            <w:r w:rsidRPr="00520C23">
              <w:rPr>
                <w:rFonts w:cstheme="minorHAnsi"/>
              </w:rPr>
              <w:t>The Code adequately addresses recommendation 8.12</w:t>
            </w:r>
            <w:r w:rsidR="00711903">
              <w:rPr>
                <w:rFonts w:cstheme="minorHAnsi"/>
              </w:rPr>
              <w:t>.</w:t>
            </w:r>
          </w:p>
        </w:tc>
      </w:tr>
      <w:tr w:rsidR="00EA3C33" w:rsidRPr="00520C23" w14:paraId="0D1EC805" w14:textId="77777777" w:rsidTr="00EA3C33">
        <w:tc>
          <w:tcPr>
            <w:tcW w:w="846" w:type="dxa"/>
            <w:shd w:val="clear" w:color="auto" w:fill="auto"/>
          </w:tcPr>
          <w:p w14:paraId="394A122C" w14:textId="3D75FA7A" w:rsidR="00472715" w:rsidRPr="00520C23" w:rsidRDefault="00472715" w:rsidP="00472715">
            <w:pPr>
              <w:spacing w:before="120"/>
              <w:jc w:val="center"/>
              <w:rPr>
                <w:rFonts w:cstheme="minorHAnsi"/>
              </w:rPr>
            </w:pPr>
            <w:r w:rsidRPr="00520C23">
              <w:rPr>
                <w:rFonts w:cstheme="minorHAnsi"/>
              </w:rPr>
              <w:t>8.13</w:t>
            </w:r>
          </w:p>
        </w:tc>
        <w:tc>
          <w:tcPr>
            <w:tcW w:w="4819" w:type="dxa"/>
            <w:shd w:val="clear" w:color="auto" w:fill="auto"/>
          </w:tcPr>
          <w:p w14:paraId="69A802CA" w14:textId="5F658181" w:rsidR="00472715" w:rsidRPr="00520C23" w:rsidRDefault="00472715" w:rsidP="00472715">
            <w:pPr>
              <w:spacing w:before="120"/>
              <w:rPr>
                <w:rFonts w:cstheme="minorHAnsi"/>
                <w:i/>
                <w:iCs/>
              </w:rPr>
            </w:pPr>
            <w:r w:rsidRPr="00520C23">
              <w:rPr>
                <w:rFonts w:cstheme="minorHAnsi"/>
                <w:i/>
                <w:iCs/>
              </w:rPr>
              <w:t>That roads and pipeline surface water flow paths minimise erosion of all exposed surfaces and drains.</w:t>
            </w:r>
          </w:p>
        </w:tc>
        <w:tc>
          <w:tcPr>
            <w:tcW w:w="5760" w:type="dxa"/>
            <w:shd w:val="clear" w:color="auto" w:fill="auto"/>
          </w:tcPr>
          <w:p w14:paraId="6D7FF34B" w14:textId="1F4DF847" w:rsidR="00472715" w:rsidRPr="00520C23" w:rsidRDefault="00472715" w:rsidP="00472715">
            <w:pPr>
              <w:spacing w:before="120"/>
              <w:rPr>
                <w:rFonts w:cstheme="minorHAnsi"/>
                <w:b/>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48"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5BC61DC6" w14:textId="4FEF3B0C" w:rsidR="00472715" w:rsidRPr="00520C23" w:rsidRDefault="00472715" w:rsidP="00472715">
            <w:pPr>
              <w:spacing w:before="120"/>
              <w:rPr>
                <w:rFonts w:cstheme="minorHAnsi"/>
                <w:b/>
                <w:bCs/>
              </w:rPr>
            </w:pPr>
            <w:r w:rsidRPr="00520C23">
              <w:rPr>
                <w:rFonts w:cstheme="minorHAnsi"/>
                <w:b/>
                <w:bCs/>
              </w:rPr>
              <w:t>Code of Practice</w:t>
            </w:r>
          </w:p>
          <w:p w14:paraId="3C72BA45" w14:textId="4132FAA3" w:rsidR="00472715" w:rsidRPr="00520C23" w:rsidRDefault="00472715" w:rsidP="00472715">
            <w:pPr>
              <w:spacing w:before="120"/>
              <w:rPr>
                <w:rFonts w:cstheme="minorHAnsi"/>
                <w:bCs/>
                <w:u w:val="single"/>
              </w:rPr>
            </w:pPr>
            <w:r w:rsidRPr="00520C23">
              <w:rPr>
                <w:rFonts w:cstheme="minorHAnsi"/>
                <w:bCs/>
                <w:u w:val="single"/>
              </w:rPr>
              <w:t>A.3.4 Erosion and sediment control and hydrology</w:t>
            </w:r>
          </w:p>
          <w:p w14:paraId="39A8DF10" w14:textId="77777777" w:rsidR="00472715" w:rsidRPr="00520C23" w:rsidRDefault="00472715" w:rsidP="00472715">
            <w:pPr>
              <w:pStyle w:val="ListParagraph"/>
              <w:numPr>
                <w:ilvl w:val="0"/>
                <w:numId w:val="40"/>
              </w:numPr>
              <w:spacing w:before="120"/>
              <w:ind w:left="527"/>
              <w:rPr>
                <w:rFonts w:cstheme="minorHAnsi"/>
                <w:bCs/>
                <w:i/>
                <w:iCs/>
              </w:rPr>
            </w:pPr>
            <w:r w:rsidRPr="00520C23">
              <w:rPr>
                <w:rFonts w:cstheme="minorHAnsi"/>
                <w:bCs/>
                <w:i/>
                <w:iCs/>
              </w:rPr>
              <w:t>Road and pipeline corridor designs must:</w:t>
            </w:r>
          </w:p>
          <w:p w14:paraId="340C7A97" w14:textId="77777777" w:rsidR="00472715" w:rsidRPr="00520C23" w:rsidRDefault="00472715" w:rsidP="00472715">
            <w:pPr>
              <w:pStyle w:val="ListParagraph"/>
              <w:spacing w:before="120"/>
              <w:ind w:left="527"/>
              <w:rPr>
                <w:rFonts w:cstheme="minorHAnsi"/>
                <w:bCs/>
                <w:i/>
                <w:iCs/>
              </w:rPr>
            </w:pPr>
          </w:p>
          <w:p w14:paraId="60A5845F" w14:textId="017B25BD" w:rsidR="00472715" w:rsidRPr="00520C23" w:rsidRDefault="00472715" w:rsidP="00472715">
            <w:pPr>
              <w:pStyle w:val="ListParagraph"/>
              <w:numPr>
                <w:ilvl w:val="0"/>
                <w:numId w:val="41"/>
              </w:numPr>
              <w:spacing w:before="120"/>
              <w:rPr>
                <w:rFonts w:cstheme="minorHAnsi"/>
                <w:bCs/>
              </w:rPr>
            </w:pPr>
            <w:r w:rsidRPr="00520C23">
              <w:rPr>
                <w:rFonts w:cstheme="minorHAnsi"/>
                <w:bCs/>
                <w:i/>
                <w:iCs/>
              </w:rPr>
              <w:t>ensure that roads and pipeline surface water flow paths minimise erosion of all exposed surfaces and drains.</w:t>
            </w:r>
          </w:p>
        </w:tc>
        <w:tc>
          <w:tcPr>
            <w:tcW w:w="5310" w:type="dxa"/>
            <w:shd w:val="clear" w:color="auto" w:fill="E2EFD9" w:themeFill="accent6" w:themeFillTint="33"/>
          </w:tcPr>
          <w:p w14:paraId="48D421BA" w14:textId="587E6BB1" w:rsidR="00472715" w:rsidRPr="00520C23" w:rsidRDefault="00472715" w:rsidP="00472715">
            <w:pPr>
              <w:spacing w:before="120"/>
              <w:rPr>
                <w:rFonts w:cstheme="minorHAnsi"/>
              </w:rPr>
            </w:pPr>
            <w:r w:rsidRPr="00520C23">
              <w:rPr>
                <w:rFonts w:cstheme="minorHAnsi"/>
              </w:rPr>
              <w:t>The Code adequately addresses recommendation 8.13.</w:t>
            </w:r>
          </w:p>
        </w:tc>
      </w:tr>
      <w:tr w:rsidR="00EA3C33" w:rsidRPr="00520C23" w14:paraId="54A18CCC" w14:textId="77777777" w:rsidTr="00EA3C33">
        <w:tc>
          <w:tcPr>
            <w:tcW w:w="846" w:type="dxa"/>
            <w:shd w:val="clear" w:color="auto" w:fill="auto"/>
          </w:tcPr>
          <w:p w14:paraId="70EC2D6C" w14:textId="61E25392" w:rsidR="00472715" w:rsidRPr="00520C23" w:rsidRDefault="00472715" w:rsidP="00472715">
            <w:pPr>
              <w:spacing w:before="120"/>
              <w:jc w:val="center"/>
              <w:rPr>
                <w:rFonts w:cstheme="minorHAnsi"/>
              </w:rPr>
            </w:pPr>
            <w:r w:rsidRPr="00520C23">
              <w:rPr>
                <w:rFonts w:cstheme="minorHAnsi"/>
              </w:rPr>
              <w:t>8.14</w:t>
            </w:r>
          </w:p>
        </w:tc>
        <w:tc>
          <w:tcPr>
            <w:tcW w:w="4819" w:type="dxa"/>
            <w:shd w:val="clear" w:color="auto" w:fill="auto"/>
          </w:tcPr>
          <w:p w14:paraId="2F977E9F" w14:textId="527314DE" w:rsidR="00472715" w:rsidRPr="00520C23" w:rsidRDefault="00472715" w:rsidP="00472715">
            <w:pPr>
              <w:spacing w:before="120"/>
              <w:rPr>
                <w:rFonts w:cstheme="minorHAnsi"/>
                <w:i/>
                <w:iCs/>
              </w:rPr>
            </w:pPr>
            <w:r w:rsidRPr="00520C23">
              <w:rPr>
                <w:rFonts w:cstheme="minorHAnsi"/>
                <w:i/>
                <w:iCs/>
              </w:rPr>
              <w:t>That all corridors be constructed to minimise the interference with wet season stream crossings and comply with relevant guidelines, such as the International Erosion Control Association Best Practice for Erosion and Sediment Control and the Australian Pipeline Industry Association Code of Environmental Practice 2009.</w:t>
            </w:r>
          </w:p>
        </w:tc>
        <w:tc>
          <w:tcPr>
            <w:tcW w:w="5760" w:type="dxa"/>
            <w:shd w:val="clear" w:color="auto" w:fill="auto"/>
          </w:tcPr>
          <w:p w14:paraId="61E1734D" w14:textId="1189FB62" w:rsidR="00472715" w:rsidRPr="00520C23" w:rsidRDefault="00472715" w:rsidP="00472715">
            <w:pPr>
              <w:spacing w:before="120"/>
              <w:rPr>
                <w:rFonts w:cstheme="minorHAnsi"/>
                <w:b/>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49"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04C7DC2D" w14:textId="4C7D9B93" w:rsidR="00472715" w:rsidRPr="00520C23" w:rsidRDefault="00472715" w:rsidP="00472715">
            <w:pPr>
              <w:spacing w:before="120"/>
              <w:rPr>
                <w:rFonts w:cstheme="minorHAnsi"/>
                <w:b/>
                <w:bCs/>
              </w:rPr>
            </w:pPr>
            <w:r w:rsidRPr="00520C23">
              <w:rPr>
                <w:rFonts w:cstheme="minorHAnsi"/>
                <w:b/>
                <w:bCs/>
              </w:rPr>
              <w:t>Code of Practice</w:t>
            </w:r>
          </w:p>
          <w:p w14:paraId="0C26646C" w14:textId="27B924DC" w:rsidR="00472715" w:rsidRPr="00520C23" w:rsidRDefault="00472715" w:rsidP="00472715">
            <w:pPr>
              <w:spacing w:before="120"/>
              <w:rPr>
                <w:rFonts w:cstheme="minorHAnsi"/>
                <w:bCs/>
                <w:u w:val="single"/>
              </w:rPr>
            </w:pPr>
            <w:r w:rsidRPr="00520C23">
              <w:rPr>
                <w:rFonts w:cstheme="minorHAnsi"/>
                <w:bCs/>
                <w:u w:val="single"/>
              </w:rPr>
              <w:t>A.3.1 Site selection and planning</w:t>
            </w:r>
          </w:p>
          <w:p w14:paraId="189AFB4F" w14:textId="77777777" w:rsidR="00472715" w:rsidRPr="00520C23" w:rsidRDefault="00472715" w:rsidP="00472715">
            <w:pPr>
              <w:pStyle w:val="ListParagraph"/>
              <w:numPr>
                <w:ilvl w:val="0"/>
                <w:numId w:val="42"/>
              </w:numPr>
              <w:spacing w:before="120"/>
              <w:ind w:left="527"/>
              <w:rPr>
                <w:rFonts w:cstheme="minorHAnsi"/>
                <w:bCs/>
                <w:i/>
                <w:iCs/>
              </w:rPr>
            </w:pPr>
            <w:r w:rsidRPr="00520C23">
              <w:rPr>
                <w:rFonts w:cstheme="minorHAnsi"/>
                <w:bCs/>
                <w:i/>
                <w:iCs/>
              </w:rPr>
              <w:t>Infrastructure site/route selection must minimise interference with wet season water flow paths and exposure of infrastructure to flooding.</w:t>
            </w:r>
          </w:p>
          <w:p w14:paraId="34A6A592" w14:textId="77777777" w:rsidR="00472715" w:rsidRPr="00520C23" w:rsidRDefault="00472715" w:rsidP="00472715">
            <w:pPr>
              <w:spacing w:before="120"/>
              <w:rPr>
                <w:rFonts w:cstheme="minorHAnsi"/>
                <w:bCs/>
                <w:u w:val="single"/>
              </w:rPr>
            </w:pPr>
            <w:r w:rsidRPr="00520C23">
              <w:rPr>
                <w:rFonts w:cstheme="minorHAnsi"/>
                <w:bCs/>
                <w:u w:val="single"/>
              </w:rPr>
              <w:t>A.3.4 Erosion and sediment control and hydrology</w:t>
            </w:r>
          </w:p>
          <w:p w14:paraId="7FDE850A" w14:textId="77777777" w:rsidR="00472715" w:rsidRPr="00520C23" w:rsidRDefault="00472715" w:rsidP="00472715">
            <w:pPr>
              <w:pStyle w:val="ListParagraph"/>
              <w:numPr>
                <w:ilvl w:val="0"/>
                <w:numId w:val="43"/>
              </w:numPr>
              <w:spacing w:before="120"/>
              <w:ind w:left="527"/>
              <w:rPr>
                <w:rFonts w:cstheme="minorHAnsi"/>
                <w:bCs/>
                <w:i/>
                <w:iCs/>
              </w:rPr>
            </w:pPr>
            <w:r w:rsidRPr="00520C23">
              <w:rPr>
                <w:rFonts w:cstheme="minorHAnsi"/>
                <w:bCs/>
                <w:i/>
                <w:iCs/>
              </w:rPr>
              <w:t>Road and pipeline corridor designs must:</w:t>
            </w:r>
          </w:p>
          <w:p w14:paraId="21112D23" w14:textId="3E2DD8AF" w:rsidR="00472715" w:rsidRPr="00520C23" w:rsidRDefault="00472715" w:rsidP="00472715">
            <w:pPr>
              <w:pStyle w:val="ListParagraph"/>
              <w:numPr>
                <w:ilvl w:val="0"/>
                <w:numId w:val="44"/>
              </w:numPr>
              <w:spacing w:before="120"/>
              <w:rPr>
                <w:rFonts w:cstheme="minorHAnsi"/>
                <w:bCs/>
              </w:rPr>
            </w:pPr>
            <w:r w:rsidRPr="00520C23">
              <w:rPr>
                <w:rFonts w:cstheme="minorHAnsi"/>
                <w:bCs/>
                <w:i/>
                <w:iCs/>
              </w:rPr>
              <w:t xml:space="preserve">comply with relevant guidelines such as the International Erosion Control Association Best Practice for Erosion and Sediment Control (2008), IECA Appendix P: Land Based Pipeline Construction December 2015 (Addendum to IECA </w:t>
            </w:r>
            <w:r w:rsidRPr="00520C23">
              <w:rPr>
                <w:rFonts w:cstheme="minorHAnsi"/>
                <w:bCs/>
                <w:i/>
                <w:iCs/>
              </w:rPr>
              <w:lastRenderedPageBreak/>
              <w:t>2008) and the Australian Pipeline Industry Association Code of Environmental Practice for Onshore Pipelines 2017.</w:t>
            </w:r>
          </w:p>
        </w:tc>
        <w:tc>
          <w:tcPr>
            <w:tcW w:w="5310" w:type="dxa"/>
            <w:shd w:val="clear" w:color="auto" w:fill="E2EFD9" w:themeFill="accent6" w:themeFillTint="33"/>
          </w:tcPr>
          <w:p w14:paraId="2AFD5B3A" w14:textId="23218880" w:rsidR="00472715" w:rsidRPr="00520C23" w:rsidRDefault="00472715" w:rsidP="00472715">
            <w:pPr>
              <w:spacing w:before="120"/>
              <w:rPr>
                <w:rFonts w:cstheme="minorHAnsi"/>
              </w:rPr>
            </w:pPr>
            <w:r w:rsidRPr="00520C23">
              <w:rPr>
                <w:rFonts w:cstheme="minorHAnsi"/>
              </w:rPr>
              <w:lastRenderedPageBreak/>
              <w:t>The Code adequately addresses recommendation 8.14.</w:t>
            </w:r>
          </w:p>
        </w:tc>
      </w:tr>
      <w:tr w:rsidR="00EA3C33" w:rsidRPr="00520C23" w14:paraId="3B8604F8" w14:textId="77777777" w:rsidTr="00EA3C33">
        <w:tc>
          <w:tcPr>
            <w:tcW w:w="846" w:type="dxa"/>
            <w:shd w:val="clear" w:color="auto" w:fill="auto"/>
          </w:tcPr>
          <w:p w14:paraId="54A347F3" w14:textId="76D25CD9" w:rsidR="00472715" w:rsidRPr="00520C23" w:rsidRDefault="00472715" w:rsidP="00472715">
            <w:pPr>
              <w:spacing w:before="120"/>
              <w:jc w:val="center"/>
              <w:rPr>
                <w:rFonts w:cstheme="minorHAnsi"/>
              </w:rPr>
            </w:pPr>
            <w:r w:rsidRPr="00520C23">
              <w:rPr>
                <w:rFonts w:cstheme="minorHAnsi"/>
              </w:rPr>
              <w:t>8.15</w:t>
            </w:r>
          </w:p>
        </w:tc>
        <w:tc>
          <w:tcPr>
            <w:tcW w:w="4819" w:type="dxa"/>
            <w:shd w:val="clear" w:color="auto" w:fill="auto"/>
          </w:tcPr>
          <w:p w14:paraId="29E2AEC4" w14:textId="77777777" w:rsidR="00472715" w:rsidRPr="00520C23" w:rsidRDefault="00472715" w:rsidP="00472715">
            <w:pPr>
              <w:spacing w:before="120"/>
              <w:rPr>
                <w:rFonts w:cstheme="minorHAnsi"/>
                <w:i/>
                <w:iCs/>
              </w:rPr>
            </w:pPr>
            <w:r w:rsidRPr="00520C23">
              <w:rPr>
                <w:rFonts w:cstheme="minorHAnsi"/>
                <w:i/>
                <w:iCs/>
              </w:rPr>
              <w:t>That to minimise the impact of any onshore shale gas industry on landscape amenity, gas companies must demonstrate that they have minimised the surface footprint of development to ALARP, including that:</w:t>
            </w:r>
          </w:p>
          <w:p w14:paraId="78575783" w14:textId="77777777" w:rsidR="00472715" w:rsidRPr="00520C23" w:rsidRDefault="00472715" w:rsidP="00472715">
            <w:pPr>
              <w:numPr>
                <w:ilvl w:val="0"/>
                <w:numId w:val="36"/>
              </w:numPr>
              <w:spacing w:before="120"/>
              <w:rPr>
                <w:rFonts w:cstheme="minorHAnsi"/>
                <w:i/>
                <w:iCs/>
              </w:rPr>
            </w:pPr>
            <w:r w:rsidRPr="00520C23">
              <w:rPr>
                <w:rFonts w:cstheme="minorHAnsi"/>
                <w:i/>
                <w:iCs/>
              </w:rPr>
              <w:t>well pads are spaced a minimum of 2 km apart; and</w:t>
            </w:r>
          </w:p>
          <w:p w14:paraId="75DB6629" w14:textId="77777777" w:rsidR="00472715" w:rsidRPr="00520C23" w:rsidRDefault="00472715" w:rsidP="00472715">
            <w:pPr>
              <w:numPr>
                <w:ilvl w:val="0"/>
                <w:numId w:val="36"/>
              </w:numPr>
              <w:spacing w:before="120"/>
              <w:rPr>
                <w:rFonts w:cstheme="minorHAnsi"/>
                <w:i/>
                <w:iCs/>
              </w:rPr>
            </w:pPr>
            <w:r w:rsidRPr="00520C23">
              <w:rPr>
                <w:rFonts w:cstheme="minorHAnsi"/>
                <w:i/>
                <w:iCs/>
              </w:rPr>
              <w:t>the long-term infrastructure within any development area (exploration or production) has little to no visibility from any major public roads.</w:t>
            </w:r>
          </w:p>
          <w:p w14:paraId="675BC915" w14:textId="77777777" w:rsidR="00472715" w:rsidRPr="00520C23" w:rsidRDefault="00472715" w:rsidP="00472715">
            <w:pPr>
              <w:spacing w:before="120"/>
              <w:rPr>
                <w:rFonts w:cstheme="minorHAnsi"/>
                <w:i/>
                <w:iCs/>
              </w:rPr>
            </w:pPr>
          </w:p>
          <w:p w14:paraId="170C06F4" w14:textId="17E901D1" w:rsidR="00472715" w:rsidRPr="00520C23" w:rsidRDefault="00472715" w:rsidP="00472715">
            <w:pPr>
              <w:spacing w:before="120"/>
              <w:rPr>
                <w:rFonts w:cstheme="minorHAnsi"/>
                <w:i/>
                <w:iCs/>
              </w:rPr>
            </w:pPr>
            <w:r w:rsidRPr="00520C23">
              <w:rPr>
                <w:rFonts w:cstheme="minorHAnsi"/>
                <w:i/>
                <w:iCs/>
              </w:rPr>
              <w:t>*ALARP means “a level as low as reasonably practicable.”</w:t>
            </w:r>
          </w:p>
        </w:tc>
        <w:tc>
          <w:tcPr>
            <w:tcW w:w="5760" w:type="dxa"/>
            <w:shd w:val="clear" w:color="auto" w:fill="auto"/>
          </w:tcPr>
          <w:p w14:paraId="437371AB" w14:textId="522F3B78" w:rsidR="00472715" w:rsidRPr="00520C23" w:rsidRDefault="00472715" w:rsidP="00472715">
            <w:pPr>
              <w:spacing w:before="120"/>
              <w:rPr>
                <w:rFonts w:cstheme="minorHAnsi"/>
                <w:b/>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50"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0A8DD3EE" w14:textId="3008AD2E" w:rsidR="00472715" w:rsidRPr="00520C23" w:rsidRDefault="00472715" w:rsidP="00472715">
            <w:pPr>
              <w:spacing w:before="120"/>
              <w:rPr>
                <w:rFonts w:cstheme="minorHAnsi"/>
                <w:b/>
                <w:bCs/>
              </w:rPr>
            </w:pPr>
            <w:r w:rsidRPr="00520C23">
              <w:rPr>
                <w:rFonts w:cstheme="minorHAnsi"/>
                <w:b/>
                <w:bCs/>
              </w:rPr>
              <w:t>Code of Practice</w:t>
            </w:r>
          </w:p>
          <w:p w14:paraId="7532BA48" w14:textId="05CC52B6" w:rsidR="00472715" w:rsidRPr="00520C23" w:rsidRDefault="00472715" w:rsidP="00472715">
            <w:pPr>
              <w:spacing w:before="120"/>
              <w:rPr>
                <w:rFonts w:cstheme="minorHAnsi"/>
                <w:bCs/>
                <w:u w:val="single"/>
              </w:rPr>
            </w:pPr>
            <w:r w:rsidRPr="00520C23">
              <w:rPr>
                <w:rFonts w:cstheme="minorHAnsi"/>
                <w:bCs/>
                <w:u w:val="single"/>
              </w:rPr>
              <w:t>A.3.2 Well pad site selection requirements</w:t>
            </w:r>
          </w:p>
          <w:p w14:paraId="68EE3145" w14:textId="0A9E47BC" w:rsidR="00472715" w:rsidRPr="00520C23" w:rsidRDefault="00472715" w:rsidP="00472715">
            <w:pPr>
              <w:spacing w:before="120"/>
              <w:rPr>
                <w:rFonts w:cstheme="minorHAnsi"/>
                <w:bCs/>
                <w:u w:val="single"/>
              </w:rPr>
            </w:pPr>
            <w:r w:rsidRPr="00520C23">
              <w:rPr>
                <w:rFonts w:cstheme="minorHAnsi"/>
                <w:bCs/>
                <w:u w:val="single"/>
              </w:rPr>
              <w:t xml:space="preserve">A.3.2.2 Mandatory requirement </w:t>
            </w:r>
          </w:p>
          <w:p w14:paraId="15493DC4" w14:textId="5981AC3A" w:rsidR="00472715" w:rsidRPr="00520C23" w:rsidRDefault="00472715" w:rsidP="00472715">
            <w:pPr>
              <w:pStyle w:val="ListParagraph"/>
              <w:numPr>
                <w:ilvl w:val="0"/>
                <w:numId w:val="45"/>
              </w:numPr>
              <w:spacing w:before="120"/>
              <w:rPr>
                <w:rFonts w:cstheme="minorHAnsi"/>
                <w:bCs/>
                <w:i/>
                <w:iCs/>
              </w:rPr>
            </w:pPr>
            <w:r w:rsidRPr="00520C23">
              <w:rPr>
                <w:rFonts w:cstheme="minorHAnsi"/>
                <w:bCs/>
                <w:i/>
                <w:iCs/>
              </w:rPr>
              <w:t xml:space="preserve">Where a petroleum development is targeting a </w:t>
            </w:r>
            <w:r w:rsidRPr="00520C23">
              <w:rPr>
                <w:rFonts w:cstheme="minorHAnsi"/>
                <w:b/>
                <w:i/>
                <w:iCs/>
              </w:rPr>
              <w:t>continuous resource</w:t>
            </w:r>
            <w:r w:rsidRPr="00520C23">
              <w:rPr>
                <w:rFonts w:cstheme="minorHAnsi"/>
                <w:bCs/>
                <w:i/>
                <w:iCs/>
              </w:rPr>
              <w:t xml:space="preserve"> well pads must be spaced a minimum of 2km apart, measured from the centre of the well pads; or the interest holder must demonstrate: </w:t>
            </w:r>
          </w:p>
          <w:p w14:paraId="5CEFF3ED" w14:textId="29D849BE" w:rsidR="00472715" w:rsidRPr="00520C23" w:rsidRDefault="00472715" w:rsidP="00472715">
            <w:pPr>
              <w:pStyle w:val="ListParagraph"/>
              <w:numPr>
                <w:ilvl w:val="0"/>
                <w:numId w:val="46"/>
              </w:numPr>
              <w:spacing w:before="120"/>
              <w:rPr>
                <w:rFonts w:cstheme="minorHAnsi"/>
                <w:bCs/>
                <w:i/>
                <w:iCs/>
              </w:rPr>
            </w:pPr>
            <w:r w:rsidRPr="00520C23">
              <w:rPr>
                <w:rFonts w:cstheme="minorHAnsi"/>
                <w:bCs/>
                <w:i/>
                <w:iCs/>
              </w:rPr>
              <w:t>a justification that demonstrates that a well pad spacing of less than 2 km is required to reduce environmental risks and impacts on cultural heritage and other land users to ALARP and acceptable in consideration of site specific constraints (including geohazards, environmental values, cultural heritage, existing land use);</w:t>
            </w:r>
          </w:p>
          <w:p w14:paraId="22B22D83" w14:textId="5431FB8A" w:rsidR="00472715" w:rsidRPr="00520C23" w:rsidRDefault="00472715" w:rsidP="00472715">
            <w:pPr>
              <w:pStyle w:val="ListParagraph"/>
              <w:numPr>
                <w:ilvl w:val="0"/>
                <w:numId w:val="47"/>
              </w:numPr>
              <w:spacing w:before="120"/>
              <w:rPr>
                <w:rFonts w:cstheme="minorHAnsi"/>
                <w:bCs/>
                <w:i/>
                <w:iCs/>
              </w:rPr>
            </w:pPr>
            <w:r w:rsidRPr="00520C23">
              <w:rPr>
                <w:rFonts w:cstheme="minorHAnsi"/>
                <w:bCs/>
                <w:i/>
                <w:iCs/>
              </w:rPr>
              <w:t xml:space="preserve">reasons supporting the alternative locations chosen; and </w:t>
            </w:r>
          </w:p>
          <w:p w14:paraId="01B1FC97" w14:textId="77777777" w:rsidR="00472715" w:rsidRPr="00520C23" w:rsidRDefault="00472715" w:rsidP="00472715">
            <w:pPr>
              <w:pStyle w:val="ListParagraph"/>
              <w:numPr>
                <w:ilvl w:val="0"/>
                <w:numId w:val="48"/>
              </w:numPr>
              <w:spacing w:before="120"/>
              <w:rPr>
                <w:rFonts w:cstheme="minorHAnsi"/>
                <w:b/>
                <w:i/>
                <w:iCs/>
              </w:rPr>
            </w:pPr>
            <w:r w:rsidRPr="00520C23">
              <w:rPr>
                <w:rFonts w:cstheme="minorHAnsi"/>
                <w:bCs/>
                <w:i/>
                <w:iCs/>
              </w:rPr>
              <w:t>that the proposed locations minimise landscape amenity impacts.</w:t>
            </w:r>
          </w:p>
          <w:p w14:paraId="72F70D95" w14:textId="0B8698A0" w:rsidR="00472715" w:rsidRPr="00520C23" w:rsidRDefault="00472715" w:rsidP="00472715">
            <w:pPr>
              <w:pStyle w:val="ListParagraph"/>
              <w:numPr>
                <w:ilvl w:val="0"/>
                <w:numId w:val="45"/>
              </w:numPr>
              <w:spacing w:before="120"/>
              <w:rPr>
                <w:rFonts w:cstheme="minorHAnsi"/>
                <w:bCs/>
                <w:i/>
                <w:iCs/>
              </w:rPr>
            </w:pPr>
            <w:r w:rsidRPr="00520C23">
              <w:rPr>
                <w:rFonts w:cstheme="minorHAnsi"/>
                <w:bCs/>
                <w:i/>
                <w:iCs/>
              </w:rPr>
              <w:t xml:space="preserve">Where a petroleum development is targeting a </w:t>
            </w:r>
            <w:r w:rsidRPr="00520C23">
              <w:rPr>
                <w:rFonts w:cstheme="minorHAnsi"/>
                <w:b/>
                <w:i/>
                <w:iCs/>
              </w:rPr>
              <w:t>compartmentalised resource</w:t>
            </w:r>
            <w:r w:rsidRPr="00520C23">
              <w:rPr>
                <w:rFonts w:cstheme="minorHAnsi"/>
                <w:bCs/>
                <w:i/>
                <w:iCs/>
              </w:rPr>
              <w:t>, well pad spacing and location must be placed to minimise landscape amenity impacts.</w:t>
            </w:r>
          </w:p>
          <w:p w14:paraId="6F7CB594" w14:textId="77777777" w:rsidR="00472715" w:rsidRPr="00520C23" w:rsidRDefault="00472715" w:rsidP="00472715">
            <w:pPr>
              <w:pStyle w:val="ListParagraph"/>
              <w:numPr>
                <w:ilvl w:val="0"/>
                <w:numId w:val="49"/>
              </w:numPr>
              <w:spacing w:before="120"/>
              <w:rPr>
                <w:rFonts w:cstheme="minorHAnsi"/>
                <w:bCs/>
                <w:i/>
                <w:iCs/>
              </w:rPr>
            </w:pPr>
            <w:r w:rsidRPr="00520C23">
              <w:rPr>
                <w:rFonts w:cstheme="minorHAnsi"/>
                <w:bCs/>
                <w:i/>
                <w:iCs/>
              </w:rPr>
              <w:t>Well pads and well infrastructure installed on the well pad post drilling must have little or no visibility from any major public road that exists at the time the well pad is constructed.</w:t>
            </w:r>
          </w:p>
          <w:p w14:paraId="5BDDC2C9" w14:textId="70578403" w:rsidR="00472715" w:rsidRPr="00520C23" w:rsidRDefault="00472715" w:rsidP="00472715">
            <w:pPr>
              <w:spacing w:before="120"/>
              <w:rPr>
                <w:rFonts w:cstheme="minorHAnsi"/>
                <w:bCs/>
              </w:rPr>
            </w:pPr>
            <w:r w:rsidRPr="00520C23">
              <w:rPr>
                <w:rFonts w:cstheme="minorHAnsi"/>
                <w:b/>
              </w:rPr>
              <w:t>Continuous resource</w:t>
            </w:r>
            <w:r w:rsidRPr="00520C23">
              <w:rPr>
                <w:rFonts w:cstheme="minorHAnsi"/>
                <w:bCs/>
              </w:rPr>
              <w:t xml:space="preserve"> means </w:t>
            </w:r>
            <w:r w:rsidRPr="00520C23">
              <w:rPr>
                <w:rFonts w:cstheme="minorHAnsi"/>
                <w:bCs/>
                <w:i/>
                <w:iCs/>
              </w:rPr>
              <w:t>“[a] resource hosted in source rock with significant lateral extent, such as a shale.”</w:t>
            </w:r>
          </w:p>
          <w:p w14:paraId="3EDC7B59" w14:textId="5F41B2E1" w:rsidR="00472715" w:rsidRPr="00520C23" w:rsidRDefault="00472715" w:rsidP="00472715">
            <w:pPr>
              <w:spacing w:before="120"/>
              <w:rPr>
                <w:rFonts w:cstheme="minorHAnsi"/>
                <w:bCs/>
              </w:rPr>
            </w:pPr>
            <w:r w:rsidRPr="00520C23">
              <w:rPr>
                <w:rFonts w:cstheme="minorHAnsi"/>
                <w:b/>
              </w:rPr>
              <w:t>Compartmentalised resource</w:t>
            </w:r>
            <w:r w:rsidRPr="00520C23">
              <w:rPr>
                <w:rFonts w:cstheme="minorHAnsi"/>
                <w:bCs/>
              </w:rPr>
              <w:t xml:space="preserve"> is “</w:t>
            </w:r>
            <w:r w:rsidRPr="00520C23">
              <w:rPr>
                <w:rFonts w:cstheme="minorHAnsi"/>
                <w:bCs/>
                <w:i/>
                <w:iCs/>
              </w:rPr>
              <w:t xml:space="preserve">[a] </w:t>
            </w:r>
            <w:r w:rsidR="00710B6C">
              <w:rPr>
                <w:rFonts w:cstheme="minorHAnsi"/>
                <w:bCs/>
                <w:i/>
                <w:iCs/>
              </w:rPr>
              <w:t>r</w:t>
            </w:r>
            <w:r w:rsidRPr="00520C23">
              <w:rPr>
                <w:rFonts w:cstheme="minorHAnsi"/>
                <w:bCs/>
                <w:i/>
                <w:iCs/>
              </w:rPr>
              <w:t>esource restricted in lateral extent where petroleum has migrated from source rocks to a definable reservoir.”</w:t>
            </w:r>
          </w:p>
        </w:tc>
        <w:tc>
          <w:tcPr>
            <w:tcW w:w="5310" w:type="dxa"/>
            <w:shd w:val="clear" w:color="auto" w:fill="FED6D6"/>
          </w:tcPr>
          <w:p w14:paraId="0DC373A9" w14:textId="3AEB8225" w:rsidR="00472715" w:rsidRPr="00520C23" w:rsidRDefault="00472715" w:rsidP="00472715">
            <w:pPr>
              <w:spacing w:before="120"/>
              <w:rPr>
                <w:rFonts w:cstheme="minorHAnsi"/>
              </w:rPr>
            </w:pPr>
            <w:r w:rsidRPr="00520C23">
              <w:rPr>
                <w:rFonts w:cstheme="minorHAnsi"/>
              </w:rPr>
              <w:t>The Code does not adequately address recommendation 8.15.</w:t>
            </w:r>
          </w:p>
          <w:p w14:paraId="77EC886D" w14:textId="53D74445" w:rsidR="00472715" w:rsidRPr="00520C23" w:rsidRDefault="00472715" w:rsidP="00472715">
            <w:pPr>
              <w:spacing w:before="120"/>
              <w:rPr>
                <w:rFonts w:cstheme="minorHAnsi"/>
                <w:i/>
                <w:iCs/>
                <w:u w:val="single"/>
              </w:rPr>
            </w:pPr>
            <w:r w:rsidRPr="00520C23">
              <w:rPr>
                <w:rFonts w:cstheme="minorHAnsi"/>
                <w:i/>
                <w:iCs/>
                <w:u w:val="single"/>
              </w:rPr>
              <w:t>Comments</w:t>
            </w:r>
          </w:p>
          <w:p w14:paraId="5D7575A8" w14:textId="57E881AB" w:rsidR="00472715" w:rsidRPr="00520C23" w:rsidRDefault="00472715" w:rsidP="00472715">
            <w:pPr>
              <w:pStyle w:val="ListParagraph"/>
              <w:numPr>
                <w:ilvl w:val="0"/>
                <w:numId w:val="50"/>
              </w:numPr>
              <w:spacing w:before="120"/>
              <w:ind w:left="336" w:hanging="336"/>
              <w:rPr>
                <w:rFonts w:cstheme="minorHAnsi"/>
              </w:rPr>
            </w:pPr>
            <w:r w:rsidRPr="00520C23">
              <w:rPr>
                <w:rFonts w:cstheme="minorHAnsi"/>
              </w:rPr>
              <w:t xml:space="preserve">Although Subsection (a) of A.3.2.2 requires well pads to be spaced a minimum of 2 km in accordance with Recommendation 8.15, it allows an interest holder to deviate from this requirement to reduce impacts on cultural heritage, but also on a more general category of “other land users.” It is possible that this exemption could be improperly granted.  </w:t>
            </w:r>
          </w:p>
          <w:p w14:paraId="0069DA2B" w14:textId="0BAC1417" w:rsidR="00472715" w:rsidRPr="00520C23" w:rsidRDefault="00472715" w:rsidP="00472715">
            <w:pPr>
              <w:pStyle w:val="ListParagraph"/>
              <w:numPr>
                <w:ilvl w:val="0"/>
                <w:numId w:val="50"/>
              </w:numPr>
              <w:spacing w:before="120"/>
              <w:ind w:left="336" w:hanging="336"/>
              <w:rPr>
                <w:rFonts w:cstheme="minorHAnsi"/>
              </w:rPr>
            </w:pPr>
            <w:r w:rsidRPr="00520C23">
              <w:rPr>
                <w:rFonts w:cstheme="minorHAnsi"/>
              </w:rPr>
              <w:t>An expert might usefully assess the distinction between continuous resources and compartmentalised resources</w:t>
            </w:r>
            <w:r w:rsidRPr="00520C23">
              <w:rPr>
                <w:rFonts w:cstheme="minorHAnsi"/>
                <w:b/>
                <w:bCs/>
              </w:rPr>
              <w:t xml:space="preserve"> </w:t>
            </w:r>
            <w:r w:rsidRPr="00520C23">
              <w:rPr>
                <w:rFonts w:cstheme="minorHAnsi"/>
              </w:rPr>
              <w:t xml:space="preserve">because well pad spacing requirements are different depending on the resource type. </w:t>
            </w:r>
          </w:p>
          <w:p w14:paraId="2B74D116" w14:textId="7C0467AB" w:rsidR="00472715" w:rsidRPr="00520C23" w:rsidRDefault="00472715" w:rsidP="00472715">
            <w:pPr>
              <w:pStyle w:val="ListParagraph"/>
              <w:numPr>
                <w:ilvl w:val="0"/>
                <w:numId w:val="50"/>
              </w:numPr>
              <w:spacing w:before="120"/>
              <w:ind w:left="336" w:hanging="336"/>
              <w:rPr>
                <w:rFonts w:cstheme="minorHAnsi"/>
              </w:rPr>
            </w:pPr>
            <w:r w:rsidRPr="00520C23">
              <w:rPr>
                <w:rFonts w:cstheme="minorHAnsi"/>
              </w:rPr>
              <w:t xml:space="preserve">Subsection (c) seems to adequately implement the visibility requirement. </w:t>
            </w:r>
          </w:p>
        </w:tc>
      </w:tr>
      <w:tr w:rsidR="00472715" w:rsidRPr="00520C23" w14:paraId="0BE473D9" w14:textId="77777777" w:rsidTr="00EA3C33">
        <w:tc>
          <w:tcPr>
            <w:tcW w:w="846" w:type="dxa"/>
            <w:shd w:val="clear" w:color="auto" w:fill="auto"/>
          </w:tcPr>
          <w:p w14:paraId="36776295" w14:textId="4CBAB103" w:rsidR="00472715" w:rsidRPr="00520C23" w:rsidRDefault="00472715" w:rsidP="00472715">
            <w:pPr>
              <w:spacing w:before="120"/>
              <w:jc w:val="center"/>
              <w:rPr>
                <w:rFonts w:cstheme="minorHAnsi"/>
              </w:rPr>
            </w:pPr>
            <w:r w:rsidRPr="00520C23">
              <w:rPr>
                <w:rFonts w:cstheme="minorHAnsi"/>
              </w:rPr>
              <w:t>8.16</w:t>
            </w:r>
          </w:p>
        </w:tc>
        <w:tc>
          <w:tcPr>
            <w:tcW w:w="4819" w:type="dxa"/>
            <w:shd w:val="clear" w:color="auto" w:fill="auto"/>
          </w:tcPr>
          <w:p w14:paraId="3125B102" w14:textId="77777777" w:rsidR="00472715" w:rsidRPr="00C52313" w:rsidRDefault="00472715" w:rsidP="00472715">
            <w:pPr>
              <w:spacing w:before="120"/>
              <w:rPr>
                <w:rFonts w:cstheme="minorHAnsi"/>
                <w:i/>
                <w:iCs/>
              </w:rPr>
            </w:pPr>
            <w:r w:rsidRPr="00C52313">
              <w:rPr>
                <w:rFonts w:cstheme="minorHAnsi"/>
                <w:i/>
                <w:iCs/>
              </w:rPr>
              <w:t>That the Government assesses the impact that any heavy-vehicle traffic associated with any onshore shale gas industry will have on the NT’s transport system and develops a management plan to mitigate such impacts. Consideration must be given to:</w:t>
            </w:r>
          </w:p>
          <w:p w14:paraId="0E04694E" w14:textId="77777777" w:rsidR="00472715" w:rsidRPr="00C52313" w:rsidRDefault="00472715" w:rsidP="00472715">
            <w:pPr>
              <w:numPr>
                <w:ilvl w:val="0"/>
                <w:numId w:val="93"/>
              </w:numPr>
              <w:spacing w:before="120"/>
              <w:rPr>
                <w:rFonts w:cstheme="minorHAnsi"/>
                <w:i/>
                <w:iCs/>
              </w:rPr>
            </w:pPr>
            <w:r w:rsidRPr="00C52313">
              <w:rPr>
                <w:rFonts w:cstheme="minorHAnsi"/>
                <w:i/>
                <w:iCs/>
              </w:rPr>
              <w:t>forecast traffic volume and roads used;</w:t>
            </w:r>
          </w:p>
          <w:p w14:paraId="5A488510" w14:textId="77777777" w:rsidR="00472715" w:rsidRPr="00C52313" w:rsidRDefault="00472715" w:rsidP="00472715">
            <w:pPr>
              <w:numPr>
                <w:ilvl w:val="0"/>
                <w:numId w:val="93"/>
              </w:numPr>
              <w:spacing w:before="120"/>
              <w:rPr>
                <w:rFonts w:cstheme="minorHAnsi"/>
                <w:i/>
                <w:iCs/>
              </w:rPr>
            </w:pPr>
            <w:r w:rsidRPr="00C52313">
              <w:rPr>
                <w:rFonts w:cstheme="minorHAnsi"/>
                <w:i/>
                <w:iCs/>
              </w:rPr>
              <w:t>the feasibility of using the existing Adelaide to Darwin railway line (or some other railway network) to reduce heavy-vehicle road use; and</w:t>
            </w:r>
          </w:p>
          <w:p w14:paraId="2B25ABB4" w14:textId="77777777" w:rsidR="00472715" w:rsidRPr="00C52313" w:rsidRDefault="00472715" w:rsidP="00472715">
            <w:pPr>
              <w:numPr>
                <w:ilvl w:val="0"/>
                <w:numId w:val="93"/>
              </w:numPr>
              <w:spacing w:before="120"/>
              <w:rPr>
                <w:rFonts w:cstheme="minorHAnsi"/>
                <w:i/>
                <w:iCs/>
              </w:rPr>
            </w:pPr>
            <w:r w:rsidRPr="00C52313">
              <w:rPr>
                <w:rFonts w:cstheme="minorHAnsi"/>
                <w:i/>
                <w:iCs/>
              </w:rPr>
              <w:lastRenderedPageBreak/>
              <w:t>road upgrades.</w:t>
            </w:r>
          </w:p>
          <w:p w14:paraId="1D0DB949" w14:textId="77777777" w:rsidR="00472715" w:rsidRPr="00520C23" w:rsidRDefault="00472715" w:rsidP="00472715">
            <w:pPr>
              <w:spacing w:before="120"/>
              <w:rPr>
                <w:rFonts w:cstheme="minorHAnsi"/>
                <w:i/>
                <w:iCs/>
              </w:rPr>
            </w:pPr>
          </w:p>
        </w:tc>
        <w:tc>
          <w:tcPr>
            <w:tcW w:w="11430" w:type="dxa"/>
            <w:gridSpan w:val="2"/>
            <w:shd w:val="clear" w:color="auto" w:fill="auto"/>
          </w:tcPr>
          <w:p w14:paraId="5A266D4F" w14:textId="77777777" w:rsidR="00472715" w:rsidRPr="00C81C90" w:rsidRDefault="00472715" w:rsidP="00472715">
            <w:pPr>
              <w:spacing w:before="120"/>
              <w:rPr>
                <w:rFonts w:cstheme="minorHAnsi"/>
                <w:lang w:val="en-US"/>
              </w:rPr>
            </w:pPr>
            <w:r w:rsidRPr="00C81C90">
              <w:rPr>
                <w:rFonts w:cstheme="minorHAnsi"/>
                <w:lang w:val="en-US"/>
              </w:rPr>
              <w:lastRenderedPageBreak/>
              <w:t>The Department of Infrastructure, Planning and Logistics (DIPL) commissioned a series of studies to support the ongoing assessment of the impact that any high-vehicle traffic associated with onshore oil and gas in the Beetaloo Sub-Basin may have on the NT’s transport system. Access the studies below:</w:t>
            </w:r>
          </w:p>
          <w:p w14:paraId="0F3C5B99" w14:textId="77777777" w:rsidR="00472715" w:rsidRPr="00C81C90" w:rsidRDefault="00F90BAA" w:rsidP="00472715">
            <w:pPr>
              <w:numPr>
                <w:ilvl w:val="0"/>
                <w:numId w:val="104"/>
              </w:numPr>
              <w:spacing w:before="120"/>
              <w:rPr>
                <w:rFonts w:cstheme="minorHAnsi"/>
                <w:lang w:val="en-US"/>
              </w:rPr>
            </w:pPr>
            <w:hyperlink r:id="rId51" w:history="1">
              <w:r w:rsidR="00472715" w:rsidRPr="00C81C90">
                <w:rPr>
                  <w:rStyle w:val="Hyperlink"/>
                  <w:rFonts w:cstheme="minorHAnsi"/>
                  <w:lang w:val="en-US"/>
                </w:rPr>
                <w:t>Mapping future transport for improved planning and operation – GISERA (csiro.au)</w:t>
              </w:r>
            </w:hyperlink>
          </w:p>
          <w:p w14:paraId="1992C5A4" w14:textId="77777777" w:rsidR="00472715" w:rsidRPr="00C81C90" w:rsidRDefault="00F90BAA" w:rsidP="00472715">
            <w:pPr>
              <w:numPr>
                <w:ilvl w:val="0"/>
                <w:numId w:val="104"/>
              </w:numPr>
              <w:spacing w:before="120"/>
              <w:rPr>
                <w:rFonts w:cstheme="minorHAnsi"/>
                <w:lang w:val="en-US"/>
              </w:rPr>
            </w:pPr>
            <w:hyperlink r:id="rId52" w:history="1">
              <w:r w:rsidR="00472715" w:rsidRPr="00C81C90">
                <w:rPr>
                  <w:rStyle w:val="Hyperlink"/>
                  <w:rFonts w:cstheme="minorHAnsi"/>
                  <w:lang w:val="en-US"/>
                </w:rPr>
                <w:t>Analysis of Infrastructure and Logistics Requirements for the Development of an Onshore Oil and Gas Industry in the Northern Territory</w:t>
              </w:r>
            </w:hyperlink>
          </w:p>
          <w:p w14:paraId="2EB4DBE0" w14:textId="77777777" w:rsidR="00472715" w:rsidRPr="00C81C90" w:rsidRDefault="00472715" w:rsidP="00472715">
            <w:pPr>
              <w:spacing w:before="120"/>
              <w:rPr>
                <w:rFonts w:cstheme="minorHAnsi"/>
                <w:lang w:val="en-US"/>
              </w:rPr>
            </w:pPr>
            <w:r w:rsidRPr="00C81C90">
              <w:rPr>
                <w:rFonts w:cstheme="minorHAnsi"/>
                <w:lang w:val="en-US"/>
              </w:rPr>
              <w:t>The studies engaged extensively with key stakeholders to test its assessments and analysis and provide critical feedback and form the basis for DIPL to use evidence-based information to plan management interventions (the management plan) to accommodate increased traffic from additional onshore gas development.</w:t>
            </w:r>
          </w:p>
          <w:p w14:paraId="6B63FC29" w14:textId="77777777" w:rsidR="00472715" w:rsidRPr="00C81C90" w:rsidRDefault="00472715" w:rsidP="00472715">
            <w:pPr>
              <w:spacing w:before="120"/>
              <w:rPr>
                <w:rFonts w:cstheme="minorHAnsi"/>
                <w:lang w:val="en-US"/>
              </w:rPr>
            </w:pPr>
            <w:r w:rsidRPr="00C81C90">
              <w:rPr>
                <w:rFonts w:cstheme="minorHAnsi"/>
                <w:lang w:val="en-US"/>
              </w:rPr>
              <w:lastRenderedPageBreak/>
              <w:t>The Commonwealth and Northern Territory Governments have announced $367 million in road upgrades to the Carpentaria Highway, Buchanan Highway, Western Creek Road and Gorrie/Dry Creek Road. The funded roads were informed by the KPMG/GHD/Risc report and are consistent with the CSIRO/GISERA study.</w:t>
            </w:r>
          </w:p>
          <w:p w14:paraId="75CD9E49" w14:textId="77777777" w:rsidR="00472715" w:rsidRPr="00C81C90" w:rsidRDefault="00472715" w:rsidP="00472715">
            <w:pPr>
              <w:spacing w:before="120"/>
              <w:rPr>
                <w:rFonts w:cstheme="minorHAnsi"/>
                <w:lang w:val="en-US"/>
              </w:rPr>
            </w:pPr>
            <w:r w:rsidRPr="00C81C90">
              <w:rPr>
                <w:rFonts w:cstheme="minorHAnsi"/>
                <w:lang w:val="en-US"/>
              </w:rPr>
              <w:t>The Roads of Strategic Importance, Northern Territory Gas Industry Road Upgrade Program (the Program) has been established to deliver these priority road upgrades throughout the Beetaloo Sub-basin, to improve safety and travel times, reduce vehicle-operating costs, and improve flood immunity to increase year round access.</w:t>
            </w:r>
          </w:p>
          <w:p w14:paraId="6C3E5E36" w14:textId="77777777" w:rsidR="00472715" w:rsidRPr="00C81C90" w:rsidRDefault="00472715" w:rsidP="00472715">
            <w:pPr>
              <w:spacing w:before="120"/>
              <w:rPr>
                <w:rFonts w:cstheme="minorHAnsi"/>
                <w:lang w:val="en-US"/>
              </w:rPr>
            </w:pPr>
            <w:r w:rsidRPr="00C81C90">
              <w:rPr>
                <w:rFonts w:cstheme="minorHAnsi"/>
                <w:lang w:val="en-US"/>
              </w:rPr>
              <w:t>CSIRO published a report in November 2021 to the Gas Industry Social and Environmental Research Alliance (GISERA). The aim of the study was mapping out key impacts of road and rail network development for gas wells before onshore gas construction occurs in the Beetaloo Sub-basin. The goal was to understand the potential changes in regional road and rail freight volumes on the established road network. The study assessed the feasibility of the use of the existing Adelaide to Darwin railway line (or another railway network) to reduce heavy-vehicle road use by modelling the pipes for transport on rail from Darwin Port to Tennant Creek. Feedback from industry stakeholders stated that transport of mining inputs to the Sub-basin would likely be on the road network due to access to suitable connecting rail services from existing supply locations and the combination of volume and timing of demand for resources and equipment. As a result, a decision to model transport of well field inputs and outputs to and from the Sub-basin on road rather than rail has been taken.</w:t>
            </w:r>
          </w:p>
          <w:p w14:paraId="2FB13C06" w14:textId="77777777" w:rsidR="00472715" w:rsidRPr="00C81C90" w:rsidRDefault="00472715" w:rsidP="00472715">
            <w:pPr>
              <w:spacing w:before="120"/>
              <w:rPr>
                <w:rFonts w:cstheme="minorHAnsi"/>
                <w:lang w:val="en-US"/>
              </w:rPr>
            </w:pPr>
            <w:r w:rsidRPr="00C81C90">
              <w:rPr>
                <w:rFonts w:cstheme="minorHAnsi"/>
                <w:lang w:val="en-US"/>
              </w:rPr>
              <w:t>The NT Government commissioned KPMG/GHD/Risc in 2019 to complete studies on infrastructure and logistical requirements for the exploration and development stages of onshore oil and gas in the Beetaloo Basin under a range of supply and demand development scenarios. The final report delivered an infrastructure gap analysis resulting in a summary of potential development scenarios, assessment of infrastructure requirements, infrastructure options and recommendations to support development of the Beetaloo Sub-basin from the exploration to implementation stages. Section 3.2 of the report detailed recommended infrastructure upgrades (including roads) to support the development of the Beetaloo Sub-basin; including estimated timeframes for the delivery of these upgrade that align with projected exploration, construction and implementation timeframes.</w:t>
            </w:r>
          </w:p>
          <w:p w14:paraId="6E679405" w14:textId="7D7236AA" w:rsidR="00472715" w:rsidRPr="00520C23" w:rsidRDefault="00472715" w:rsidP="00472715">
            <w:pPr>
              <w:spacing w:before="120"/>
              <w:rPr>
                <w:rFonts w:cstheme="minorHAnsi"/>
                <w:b/>
                <w:bCs/>
              </w:rPr>
            </w:pPr>
          </w:p>
        </w:tc>
        <w:tc>
          <w:tcPr>
            <w:tcW w:w="5310" w:type="dxa"/>
            <w:shd w:val="clear" w:color="auto" w:fill="FFF2CC" w:themeFill="accent4" w:themeFillTint="33"/>
          </w:tcPr>
          <w:p w14:paraId="6982655F" w14:textId="77777777" w:rsidR="00472715" w:rsidRDefault="00472715" w:rsidP="00472715">
            <w:pPr>
              <w:spacing w:before="120"/>
              <w:rPr>
                <w:rFonts w:cstheme="minorHAnsi"/>
              </w:rPr>
            </w:pPr>
            <w:r>
              <w:rPr>
                <w:rFonts w:cstheme="minorHAnsi"/>
              </w:rPr>
              <w:lastRenderedPageBreak/>
              <w:t xml:space="preserve">This recommendation has been addressed through the GISERA mapping report. </w:t>
            </w:r>
          </w:p>
          <w:p w14:paraId="16A67BB4" w14:textId="3190DB4E" w:rsidR="00472715" w:rsidRPr="00520C23" w:rsidRDefault="00472715" w:rsidP="00472715">
            <w:pPr>
              <w:spacing w:before="120"/>
              <w:rPr>
                <w:rFonts w:cstheme="minorHAnsi"/>
              </w:rPr>
            </w:pPr>
            <w:r>
              <w:rPr>
                <w:rFonts w:cstheme="minorHAnsi"/>
              </w:rPr>
              <w:t xml:space="preserve">However, the report does note that additional analyses could refine modelling results: </w:t>
            </w:r>
            <w:r>
              <w:rPr>
                <w:rFonts w:cstheme="minorHAnsi"/>
                <w:i/>
                <w:iCs/>
                <w:lang w:val="en-US"/>
              </w:rPr>
              <w:t>“</w:t>
            </w:r>
            <w:r w:rsidRPr="003A2423">
              <w:rPr>
                <w:rFonts w:cstheme="minorHAnsi"/>
                <w:i/>
                <w:iCs/>
                <w:lang w:val="en-US"/>
              </w:rPr>
              <w:t>Future work could examine further supply chain or road/rail network change scenarios, look at issues around placement of access roads to and within drilling fields, or analyse the impact of bottlenecks where infrastructure capacity may be insufficient for project freight increases such as single lane bridges and weight-restricted bridges. As development scenarios become more certain, future work can refine the modelling</w:t>
            </w:r>
            <w:r>
              <w:rPr>
                <w:rFonts w:cstheme="minorHAnsi"/>
                <w:i/>
                <w:iCs/>
                <w:lang w:val="en-US"/>
              </w:rPr>
              <w:t xml:space="preserve">…” </w:t>
            </w:r>
            <w:r>
              <w:rPr>
                <w:rFonts w:cstheme="minorHAnsi"/>
                <w:lang w:val="en-US"/>
              </w:rPr>
              <w:t>(p. viii).</w:t>
            </w:r>
          </w:p>
        </w:tc>
      </w:tr>
      <w:tr w:rsidR="00EA3C33" w:rsidRPr="00520C23" w14:paraId="7DE21278" w14:textId="77777777" w:rsidTr="00EA3C33">
        <w:tc>
          <w:tcPr>
            <w:tcW w:w="846" w:type="dxa"/>
            <w:shd w:val="clear" w:color="auto" w:fill="auto"/>
          </w:tcPr>
          <w:p w14:paraId="1F797EFA" w14:textId="295433B8" w:rsidR="00472715" w:rsidRPr="00520C23" w:rsidRDefault="00472715" w:rsidP="00472715">
            <w:pPr>
              <w:spacing w:before="120"/>
              <w:jc w:val="center"/>
              <w:rPr>
                <w:rFonts w:cstheme="minorHAnsi"/>
              </w:rPr>
            </w:pPr>
            <w:r w:rsidRPr="00520C23">
              <w:rPr>
                <w:rFonts w:cstheme="minorHAnsi"/>
              </w:rPr>
              <w:t>9.1</w:t>
            </w:r>
          </w:p>
        </w:tc>
        <w:tc>
          <w:tcPr>
            <w:tcW w:w="4819" w:type="dxa"/>
            <w:shd w:val="clear" w:color="auto" w:fill="auto"/>
          </w:tcPr>
          <w:p w14:paraId="13091158" w14:textId="675CE562" w:rsidR="00472715" w:rsidRPr="00520C23" w:rsidRDefault="00472715" w:rsidP="00472715">
            <w:pPr>
              <w:spacing w:before="120"/>
              <w:rPr>
                <w:rFonts w:cstheme="minorHAnsi"/>
                <w:i/>
                <w:iCs/>
              </w:rPr>
            </w:pPr>
            <w:r w:rsidRPr="00520C23">
              <w:rPr>
                <w:rFonts w:cstheme="minorHAnsi"/>
                <w:i/>
                <w:iCs/>
              </w:rPr>
              <w:t>That to reduce the risk of upstream methane emissions from any onshore shale gas wells, the Government implement the US EPA New Source Performance Standards of 2012 and 2016.</w:t>
            </w:r>
          </w:p>
        </w:tc>
        <w:tc>
          <w:tcPr>
            <w:tcW w:w="5760" w:type="dxa"/>
            <w:shd w:val="clear" w:color="auto" w:fill="auto"/>
          </w:tcPr>
          <w:p w14:paraId="5DEB0C3F" w14:textId="2682B993" w:rsidR="00472715" w:rsidRPr="00520C23" w:rsidRDefault="00472715" w:rsidP="00472715">
            <w:pPr>
              <w:spacing w:before="120"/>
              <w:rPr>
                <w:rFonts w:cstheme="minorHAnsi"/>
                <w:bCs/>
              </w:rPr>
            </w:pPr>
            <w:r w:rsidRPr="00520C23">
              <w:rPr>
                <w:rFonts w:cstheme="minorHAnsi"/>
                <w:bCs/>
              </w:rPr>
              <w:t>The Northern Territory Government worked with independent scientific experts to develop a Code of Practice relative to the Inquiry's recommendation. The Code is legally enforceable through the Petroleum (Environment) Regulations 2016. The finalised </w:t>
            </w:r>
            <w:hyperlink r:id="rId53"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100C924F" w14:textId="0520A17C" w:rsidR="00472715" w:rsidRPr="00520C23" w:rsidRDefault="00472715" w:rsidP="00472715">
            <w:pPr>
              <w:spacing w:before="120"/>
              <w:rPr>
                <w:rFonts w:cstheme="minorHAnsi"/>
                <w:b/>
                <w:bCs/>
              </w:rPr>
            </w:pPr>
            <w:r w:rsidRPr="00520C23">
              <w:rPr>
                <w:rFonts w:cstheme="minorHAnsi"/>
                <w:b/>
                <w:bCs/>
              </w:rPr>
              <w:t>Code of Practice</w:t>
            </w:r>
          </w:p>
          <w:p w14:paraId="2DF2CF20" w14:textId="779E5415" w:rsidR="00472715" w:rsidRPr="00520C23" w:rsidRDefault="00472715" w:rsidP="00472715">
            <w:pPr>
              <w:spacing w:before="120"/>
              <w:rPr>
                <w:rFonts w:cstheme="minorHAnsi"/>
                <w:bCs/>
                <w:u w:val="single"/>
              </w:rPr>
            </w:pPr>
            <w:r w:rsidRPr="00520C23">
              <w:rPr>
                <w:rFonts w:cstheme="minorHAnsi"/>
                <w:bCs/>
                <w:u w:val="single"/>
              </w:rPr>
              <w:t>D.5.1 Methane Emissions Management Plan</w:t>
            </w:r>
          </w:p>
          <w:p w14:paraId="046F185B" w14:textId="5435C5D1" w:rsidR="00472715" w:rsidRPr="00520C23" w:rsidRDefault="00472715" w:rsidP="00472715">
            <w:pPr>
              <w:spacing w:before="120"/>
              <w:rPr>
                <w:rFonts w:cstheme="minorHAnsi"/>
                <w:bCs/>
                <w:u w:val="single"/>
              </w:rPr>
            </w:pPr>
            <w:r w:rsidRPr="00520C23">
              <w:rPr>
                <w:rFonts w:cstheme="minorHAnsi"/>
                <w:bCs/>
                <w:u w:val="single"/>
              </w:rPr>
              <w:t xml:space="preserve">D.5.1.3 Preferred requirements </w:t>
            </w:r>
          </w:p>
          <w:p w14:paraId="6700D70B" w14:textId="77777777" w:rsidR="00472715" w:rsidRPr="00520C23" w:rsidRDefault="00472715" w:rsidP="00472715">
            <w:pPr>
              <w:pStyle w:val="ListParagraph"/>
              <w:numPr>
                <w:ilvl w:val="0"/>
                <w:numId w:val="51"/>
              </w:numPr>
              <w:spacing w:before="120"/>
              <w:rPr>
                <w:rFonts w:cstheme="minorHAnsi"/>
                <w:bCs/>
                <w:i/>
                <w:iCs/>
              </w:rPr>
            </w:pPr>
            <w:r w:rsidRPr="00520C23">
              <w:rPr>
                <w:rFonts w:cstheme="minorHAnsi"/>
                <w:bCs/>
                <w:i/>
                <w:iCs/>
              </w:rPr>
              <w:t xml:space="preserve">The MEMP should be consistent with the emissions management plan described in US NSPS 2016 and relevant parts of the following sections: </w:t>
            </w:r>
          </w:p>
          <w:p w14:paraId="040BA39F" w14:textId="77777777" w:rsidR="00472715" w:rsidRPr="00520C23" w:rsidRDefault="00472715" w:rsidP="00472715">
            <w:pPr>
              <w:pStyle w:val="ListParagraph"/>
              <w:numPr>
                <w:ilvl w:val="0"/>
                <w:numId w:val="52"/>
              </w:numPr>
              <w:spacing w:before="120"/>
              <w:rPr>
                <w:rFonts w:cstheme="minorHAnsi"/>
                <w:bCs/>
                <w:i/>
                <w:iCs/>
              </w:rPr>
            </w:pPr>
            <w:r w:rsidRPr="00520C23">
              <w:rPr>
                <w:rFonts w:cstheme="minorHAnsi"/>
                <w:bCs/>
                <w:i/>
                <w:iCs/>
              </w:rPr>
              <w:t xml:space="preserve">§60.5397a; </w:t>
            </w:r>
          </w:p>
          <w:p w14:paraId="7BFA9A97" w14:textId="77777777" w:rsidR="00472715" w:rsidRPr="00520C23" w:rsidRDefault="00472715" w:rsidP="00472715">
            <w:pPr>
              <w:pStyle w:val="ListParagraph"/>
              <w:numPr>
                <w:ilvl w:val="0"/>
                <w:numId w:val="52"/>
              </w:numPr>
              <w:spacing w:before="120"/>
              <w:rPr>
                <w:rFonts w:cstheme="minorHAnsi"/>
                <w:bCs/>
                <w:i/>
                <w:iCs/>
              </w:rPr>
            </w:pPr>
            <w:r w:rsidRPr="00520C23">
              <w:rPr>
                <w:rFonts w:cstheme="minorHAnsi"/>
                <w:bCs/>
                <w:i/>
                <w:iCs/>
              </w:rPr>
              <w:t xml:space="preserve">§60.5410a; </w:t>
            </w:r>
          </w:p>
          <w:p w14:paraId="6244834E" w14:textId="77777777" w:rsidR="00472715" w:rsidRPr="00520C23" w:rsidRDefault="00472715" w:rsidP="00472715">
            <w:pPr>
              <w:pStyle w:val="ListParagraph"/>
              <w:numPr>
                <w:ilvl w:val="0"/>
                <w:numId w:val="52"/>
              </w:numPr>
              <w:spacing w:before="120"/>
              <w:rPr>
                <w:rFonts w:cstheme="minorHAnsi"/>
                <w:bCs/>
                <w:i/>
                <w:iCs/>
              </w:rPr>
            </w:pPr>
            <w:r w:rsidRPr="00520C23">
              <w:rPr>
                <w:rFonts w:cstheme="minorHAnsi"/>
                <w:bCs/>
                <w:i/>
                <w:iCs/>
              </w:rPr>
              <w:t xml:space="preserve">§60.5415a; and </w:t>
            </w:r>
          </w:p>
          <w:p w14:paraId="151E13F0" w14:textId="77777777" w:rsidR="00472715" w:rsidRPr="00520C23" w:rsidRDefault="00472715" w:rsidP="00472715">
            <w:pPr>
              <w:pStyle w:val="ListParagraph"/>
              <w:numPr>
                <w:ilvl w:val="0"/>
                <w:numId w:val="52"/>
              </w:numPr>
              <w:spacing w:before="120"/>
              <w:rPr>
                <w:rFonts w:cstheme="minorHAnsi"/>
                <w:bCs/>
              </w:rPr>
            </w:pPr>
            <w:r w:rsidRPr="00520C23">
              <w:rPr>
                <w:rFonts w:cstheme="minorHAnsi"/>
                <w:bCs/>
                <w:i/>
                <w:iCs/>
              </w:rPr>
              <w:t>§60.5420a.</w:t>
            </w:r>
          </w:p>
          <w:p w14:paraId="73A0086B" w14:textId="77777777" w:rsidR="00472715" w:rsidRPr="00520C23" w:rsidRDefault="00472715" w:rsidP="00472715">
            <w:pPr>
              <w:spacing w:before="120"/>
              <w:rPr>
                <w:rFonts w:cstheme="minorHAnsi"/>
                <w:bCs/>
                <w:u w:val="single"/>
              </w:rPr>
            </w:pPr>
            <w:r w:rsidRPr="00520C23">
              <w:rPr>
                <w:rFonts w:cstheme="minorHAnsi"/>
                <w:bCs/>
                <w:u w:val="single"/>
              </w:rPr>
              <w:t xml:space="preserve">D.5.2.3 Preferred requirements </w:t>
            </w:r>
          </w:p>
          <w:p w14:paraId="2610CAA9" w14:textId="76328E45" w:rsidR="00472715" w:rsidRPr="00520C23" w:rsidRDefault="00472715" w:rsidP="00472715">
            <w:pPr>
              <w:pStyle w:val="ListParagraph"/>
              <w:numPr>
                <w:ilvl w:val="0"/>
                <w:numId w:val="53"/>
              </w:numPr>
              <w:spacing w:before="120"/>
              <w:rPr>
                <w:rFonts w:cstheme="minorHAnsi"/>
                <w:bCs/>
                <w:i/>
                <w:iCs/>
              </w:rPr>
            </w:pPr>
            <w:r w:rsidRPr="00520C23">
              <w:rPr>
                <w:rFonts w:cstheme="minorHAnsi"/>
                <w:bCs/>
                <w:i/>
                <w:iCs/>
              </w:rPr>
              <w:t xml:space="preserve">The inspection frequency should be consistent with the monitoring requirements in US NSPS 2016 and relevant parts of the following sections: </w:t>
            </w:r>
          </w:p>
          <w:p w14:paraId="1D9D08E2" w14:textId="0DD51AE7" w:rsidR="00472715" w:rsidRPr="00520C23" w:rsidRDefault="00472715" w:rsidP="00472715">
            <w:pPr>
              <w:pStyle w:val="ListParagraph"/>
              <w:numPr>
                <w:ilvl w:val="2"/>
                <w:numId w:val="54"/>
              </w:numPr>
              <w:spacing w:before="120"/>
              <w:ind w:left="1157"/>
              <w:rPr>
                <w:rFonts w:cstheme="minorHAnsi"/>
                <w:bCs/>
                <w:i/>
                <w:iCs/>
              </w:rPr>
            </w:pPr>
            <w:r w:rsidRPr="00520C23">
              <w:rPr>
                <w:rFonts w:cstheme="minorHAnsi"/>
                <w:bCs/>
                <w:i/>
                <w:iCs/>
              </w:rPr>
              <w:t>§60.5397a;</w:t>
            </w:r>
          </w:p>
          <w:p w14:paraId="4A9B0B81" w14:textId="77777777" w:rsidR="00472715" w:rsidRPr="00520C23" w:rsidRDefault="00472715" w:rsidP="00472715">
            <w:pPr>
              <w:pStyle w:val="ListParagraph"/>
              <w:numPr>
                <w:ilvl w:val="2"/>
                <w:numId w:val="54"/>
              </w:numPr>
              <w:spacing w:before="120"/>
              <w:ind w:left="1157"/>
              <w:rPr>
                <w:rFonts w:cstheme="minorHAnsi"/>
                <w:bCs/>
                <w:i/>
                <w:iCs/>
              </w:rPr>
            </w:pPr>
            <w:r w:rsidRPr="00520C23">
              <w:rPr>
                <w:rFonts w:cstheme="minorHAnsi"/>
                <w:bCs/>
                <w:i/>
                <w:iCs/>
              </w:rPr>
              <w:t>§60.5410a; and</w:t>
            </w:r>
          </w:p>
          <w:p w14:paraId="7E7C728F" w14:textId="77777777" w:rsidR="00472715" w:rsidRPr="00520C23" w:rsidRDefault="00472715" w:rsidP="00472715">
            <w:pPr>
              <w:pStyle w:val="ListParagraph"/>
              <w:numPr>
                <w:ilvl w:val="2"/>
                <w:numId w:val="54"/>
              </w:numPr>
              <w:spacing w:before="120"/>
              <w:ind w:left="1157"/>
              <w:rPr>
                <w:rFonts w:cstheme="minorHAnsi"/>
                <w:b/>
                <w:i/>
                <w:iCs/>
              </w:rPr>
            </w:pPr>
            <w:r w:rsidRPr="00520C23">
              <w:rPr>
                <w:rFonts w:cstheme="minorHAnsi"/>
                <w:bCs/>
                <w:i/>
                <w:iCs/>
              </w:rPr>
              <w:t>§60.5415a.</w:t>
            </w:r>
          </w:p>
          <w:p w14:paraId="67A5A4B0" w14:textId="77777777" w:rsidR="00472715" w:rsidRPr="00520C23" w:rsidRDefault="00472715" w:rsidP="00472715">
            <w:pPr>
              <w:spacing w:before="120"/>
              <w:rPr>
                <w:rFonts w:cstheme="minorHAnsi"/>
                <w:bCs/>
                <w:u w:val="single"/>
              </w:rPr>
            </w:pPr>
            <w:r w:rsidRPr="00520C23">
              <w:rPr>
                <w:rFonts w:cstheme="minorHAnsi"/>
                <w:bCs/>
                <w:u w:val="single"/>
              </w:rPr>
              <w:t xml:space="preserve">D.5.3.3 Preferred requirements </w:t>
            </w:r>
          </w:p>
          <w:p w14:paraId="4E4CA7D9" w14:textId="77777777" w:rsidR="00472715" w:rsidRPr="00520C23" w:rsidRDefault="00472715" w:rsidP="00472715">
            <w:pPr>
              <w:pStyle w:val="ListParagraph"/>
              <w:numPr>
                <w:ilvl w:val="0"/>
                <w:numId w:val="55"/>
              </w:numPr>
              <w:spacing w:before="120"/>
              <w:rPr>
                <w:rFonts w:cstheme="minorHAnsi"/>
                <w:bCs/>
                <w:i/>
                <w:iCs/>
              </w:rPr>
            </w:pPr>
            <w:r w:rsidRPr="00520C23">
              <w:rPr>
                <w:rFonts w:cstheme="minorHAnsi"/>
                <w:bCs/>
                <w:i/>
                <w:iCs/>
              </w:rPr>
              <w:t xml:space="preserve">The minimum requirements for gas detection instruments, operation and calibration procedures should be consistent with the requirements in US </w:t>
            </w:r>
            <w:r w:rsidRPr="00520C23">
              <w:rPr>
                <w:rFonts w:cstheme="minorHAnsi"/>
                <w:bCs/>
                <w:i/>
                <w:iCs/>
              </w:rPr>
              <w:lastRenderedPageBreak/>
              <w:t xml:space="preserve">NSPS 2016 and relevant parts of the following sections: </w:t>
            </w:r>
          </w:p>
          <w:p w14:paraId="4CBD2A36" w14:textId="77777777" w:rsidR="00472715" w:rsidRPr="00520C23" w:rsidRDefault="00472715" w:rsidP="00472715">
            <w:pPr>
              <w:pStyle w:val="ListParagraph"/>
              <w:numPr>
                <w:ilvl w:val="0"/>
                <w:numId w:val="56"/>
              </w:numPr>
              <w:spacing w:before="120"/>
              <w:rPr>
                <w:rFonts w:cstheme="minorHAnsi"/>
                <w:b/>
                <w:i/>
                <w:iCs/>
              </w:rPr>
            </w:pPr>
            <w:r w:rsidRPr="00520C23">
              <w:rPr>
                <w:rFonts w:cstheme="minorHAnsi"/>
                <w:bCs/>
                <w:i/>
                <w:iCs/>
              </w:rPr>
              <w:t xml:space="preserve"> §60.5397a.</w:t>
            </w:r>
          </w:p>
          <w:p w14:paraId="5BB98107" w14:textId="173AAA40" w:rsidR="00472715" w:rsidRPr="00520C23" w:rsidRDefault="00472715" w:rsidP="00472715">
            <w:pPr>
              <w:spacing w:before="120"/>
              <w:rPr>
                <w:rFonts w:cstheme="minorHAnsi"/>
                <w:u w:val="single"/>
              </w:rPr>
            </w:pPr>
            <w:r w:rsidRPr="00520C23">
              <w:rPr>
                <w:rFonts w:cstheme="minorHAnsi"/>
                <w:u w:val="single"/>
              </w:rPr>
              <w:t>3.2 Nature of requirements</w:t>
            </w:r>
          </w:p>
          <w:p w14:paraId="40A22348" w14:textId="0E624394" w:rsidR="00472715" w:rsidRPr="00520C23" w:rsidRDefault="00472715" w:rsidP="00472715">
            <w:pPr>
              <w:spacing w:before="120"/>
              <w:rPr>
                <w:rFonts w:cstheme="minorHAnsi"/>
              </w:rPr>
            </w:pPr>
            <w:r w:rsidRPr="00520C23">
              <w:rPr>
                <w:rFonts w:cstheme="minorHAnsi"/>
              </w:rPr>
              <w:t>In the Code, “preferred requirements” is defined as follows:</w:t>
            </w:r>
          </w:p>
          <w:p w14:paraId="46ECE5D2" w14:textId="26746E55" w:rsidR="00472715" w:rsidRPr="00520C23" w:rsidRDefault="00472715" w:rsidP="00472715">
            <w:pPr>
              <w:pStyle w:val="ListParagraph"/>
              <w:numPr>
                <w:ilvl w:val="0"/>
                <w:numId w:val="57"/>
              </w:numPr>
              <w:spacing w:before="120"/>
              <w:rPr>
                <w:rFonts w:cstheme="minorHAnsi"/>
                <w:i/>
                <w:iCs/>
              </w:rPr>
            </w:pPr>
            <w:r w:rsidRPr="00520C23">
              <w:rPr>
                <w:rFonts w:cstheme="minorHAnsi"/>
                <w:b/>
                <w:bCs/>
                <w:i/>
                <w:iCs/>
              </w:rPr>
              <w:t>preferred requirements</w:t>
            </w:r>
            <w:r w:rsidRPr="00520C23">
              <w:rPr>
                <w:rFonts w:cstheme="minorHAnsi"/>
                <w:i/>
                <w:iCs/>
              </w:rPr>
              <w:t xml:space="preserve">: These are practices, methods and techniques which should generally be followed by interest holders unless: </w:t>
            </w:r>
          </w:p>
          <w:p w14:paraId="093972A6" w14:textId="77777777" w:rsidR="00472715" w:rsidRPr="00520C23" w:rsidRDefault="00472715" w:rsidP="00472715">
            <w:pPr>
              <w:pStyle w:val="ListParagraph"/>
              <w:numPr>
                <w:ilvl w:val="0"/>
                <w:numId w:val="58"/>
              </w:numPr>
              <w:spacing w:before="120"/>
              <w:ind w:left="1146" w:hanging="270"/>
              <w:rPr>
                <w:rFonts w:cstheme="minorHAnsi"/>
                <w:i/>
                <w:iCs/>
              </w:rPr>
            </w:pPr>
            <w:r w:rsidRPr="00520C23">
              <w:rPr>
                <w:rFonts w:cstheme="minorHAnsi"/>
                <w:i/>
                <w:iCs/>
              </w:rPr>
              <w:t xml:space="preserve">there is a convincing justification why they cannot be followed; and </w:t>
            </w:r>
          </w:p>
          <w:p w14:paraId="7BEFF71C" w14:textId="77777777" w:rsidR="00472715" w:rsidRPr="00520C23" w:rsidRDefault="00472715" w:rsidP="00472715">
            <w:pPr>
              <w:pStyle w:val="ListParagraph"/>
              <w:numPr>
                <w:ilvl w:val="0"/>
                <w:numId w:val="58"/>
              </w:numPr>
              <w:spacing w:before="120"/>
              <w:ind w:left="1146" w:hanging="270"/>
              <w:rPr>
                <w:rFonts w:cstheme="minorHAnsi"/>
                <w:i/>
                <w:iCs/>
              </w:rPr>
            </w:pPr>
            <w:r w:rsidRPr="00520C23">
              <w:rPr>
                <w:rFonts w:cstheme="minorHAnsi"/>
                <w:i/>
                <w:iCs/>
              </w:rPr>
              <w:t xml:space="preserve">any alternative practice, method or technique that will be followed: </w:t>
            </w:r>
          </w:p>
          <w:p w14:paraId="1A09F33C" w14:textId="77777777" w:rsidR="00472715" w:rsidRPr="00520C23" w:rsidRDefault="00472715" w:rsidP="00472715">
            <w:pPr>
              <w:pStyle w:val="ListParagraph"/>
              <w:numPr>
                <w:ilvl w:val="0"/>
                <w:numId w:val="59"/>
              </w:numPr>
              <w:spacing w:before="120"/>
              <w:ind w:left="1506"/>
              <w:rPr>
                <w:rFonts w:cstheme="minorHAnsi"/>
                <w:i/>
                <w:iCs/>
              </w:rPr>
            </w:pPr>
            <w:r w:rsidRPr="00520C23">
              <w:rPr>
                <w:rFonts w:cstheme="minorHAnsi"/>
                <w:i/>
                <w:iCs/>
              </w:rPr>
              <w:t xml:space="preserve">if a corresponding principle has been identified, will achieve the principle; or </w:t>
            </w:r>
          </w:p>
          <w:p w14:paraId="1D41BE55" w14:textId="08D2CCDD" w:rsidR="00472715" w:rsidRPr="00520C23" w:rsidRDefault="00472715" w:rsidP="00472715">
            <w:pPr>
              <w:pStyle w:val="ListParagraph"/>
              <w:numPr>
                <w:ilvl w:val="0"/>
                <w:numId w:val="59"/>
              </w:numPr>
              <w:spacing w:before="120"/>
              <w:ind w:left="1506"/>
              <w:rPr>
                <w:rFonts w:cstheme="minorHAnsi"/>
                <w:i/>
                <w:iCs/>
              </w:rPr>
            </w:pPr>
            <w:r w:rsidRPr="00520C23">
              <w:rPr>
                <w:rFonts w:cstheme="minorHAnsi"/>
                <w:i/>
                <w:iCs/>
              </w:rPr>
              <w:t>if no corresponding principle has been identified, will result in no greater environmental risks or environmental impacts than if good oilfield practice is followed.</w:t>
            </w:r>
          </w:p>
        </w:tc>
        <w:tc>
          <w:tcPr>
            <w:tcW w:w="5310" w:type="dxa"/>
            <w:shd w:val="clear" w:color="auto" w:fill="FED6D6"/>
          </w:tcPr>
          <w:p w14:paraId="31CA731E" w14:textId="347E9FFE" w:rsidR="00472715" w:rsidRPr="00520C23" w:rsidRDefault="00472715" w:rsidP="00472715">
            <w:pPr>
              <w:spacing w:before="120"/>
              <w:rPr>
                <w:rFonts w:cstheme="minorHAnsi"/>
              </w:rPr>
            </w:pPr>
            <w:r w:rsidRPr="00520C23">
              <w:rPr>
                <w:rFonts w:cstheme="minorHAnsi"/>
              </w:rPr>
              <w:lastRenderedPageBreak/>
              <w:t>The Code does not adequately address recommendation 9.1.</w:t>
            </w:r>
          </w:p>
          <w:p w14:paraId="5783ED86" w14:textId="0CDF9F9B" w:rsidR="00472715" w:rsidRPr="00520C23" w:rsidRDefault="00472715" w:rsidP="00472715">
            <w:pPr>
              <w:spacing w:before="120"/>
              <w:rPr>
                <w:rFonts w:cstheme="minorHAnsi"/>
                <w:i/>
                <w:iCs/>
                <w:u w:val="single"/>
              </w:rPr>
            </w:pPr>
            <w:r w:rsidRPr="00520C23">
              <w:rPr>
                <w:rFonts w:cstheme="minorHAnsi"/>
                <w:i/>
                <w:iCs/>
                <w:u w:val="single"/>
              </w:rPr>
              <w:t>Comments</w:t>
            </w:r>
          </w:p>
          <w:p w14:paraId="7E2F7680" w14:textId="735C845E" w:rsidR="00472715" w:rsidRPr="00520C23" w:rsidRDefault="00472715" w:rsidP="00472715">
            <w:pPr>
              <w:pStyle w:val="ListParagraph"/>
              <w:numPr>
                <w:ilvl w:val="0"/>
                <w:numId w:val="84"/>
              </w:numPr>
              <w:spacing w:before="120"/>
              <w:rPr>
                <w:rFonts w:cstheme="minorHAnsi"/>
              </w:rPr>
            </w:pPr>
            <w:r w:rsidRPr="00520C23">
              <w:rPr>
                <w:rFonts w:cstheme="minorHAnsi"/>
              </w:rPr>
              <w:t>In contrast to the more absolute language of the recommendation, compliance with US EPA New Source Performance Standards 2016 under the Code of Practice is only “preferred,” not mandatory. (See left for the definition of “preferred requirements” in the Code.)</w:t>
            </w:r>
          </w:p>
        </w:tc>
      </w:tr>
      <w:tr w:rsidR="00EA3C33" w:rsidRPr="00520C23" w14:paraId="3867B5DC" w14:textId="08404CAF" w:rsidTr="00EA3C33">
        <w:tc>
          <w:tcPr>
            <w:tcW w:w="846" w:type="dxa"/>
            <w:shd w:val="clear" w:color="auto" w:fill="auto"/>
          </w:tcPr>
          <w:p w14:paraId="64F51EAD" w14:textId="77777777" w:rsidR="00472715" w:rsidRPr="00520C23" w:rsidRDefault="00472715" w:rsidP="00472715">
            <w:pPr>
              <w:spacing w:before="120"/>
              <w:jc w:val="center"/>
              <w:rPr>
                <w:rFonts w:cstheme="minorHAnsi"/>
              </w:rPr>
            </w:pPr>
            <w:r w:rsidRPr="00520C23">
              <w:rPr>
                <w:rFonts w:cstheme="minorHAnsi"/>
              </w:rPr>
              <w:t>9.2</w:t>
            </w:r>
          </w:p>
        </w:tc>
        <w:tc>
          <w:tcPr>
            <w:tcW w:w="4819" w:type="dxa"/>
            <w:shd w:val="clear" w:color="auto" w:fill="auto"/>
          </w:tcPr>
          <w:p w14:paraId="1AFEB4B8" w14:textId="15270FE1"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a code of practice be developed and implemented for the ongoing monitoring, detection and reporting of methane emissions from any onshore shale gas fields and wells. </w:t>
            </w:r>
          </w:p>
        </w:tc>
        <w:tc>
          <w:tcPr>
            <w:tcW w:w="5760" w:type="dxa"/>
            <w:shd w:val="clear" w:color="auto" w:fill="auto"/>
          </w:tcPr>
          <w:p w14:paraId="69BAD43E" w14:textId="16C8EEA9"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54">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w:t>
            </w:r>
          </w:p>
        </w:tc>
        <w:tc>
          <w:tcPr>
            <w:tcW w:w="5670" w:type="dxa"/>
            <w:shd w:val="clear" w:color="auto" w:fill="auto"/>
          </w:tcPr>
          <w:p w14:paraId="003D7341" w14:textId="1100E0C0" w:rsidR="00472715" w:rsidRPr="00520C23" w:rsidRDefault="00472715" w:rsidP="00472715">
            <w:pPr>
              <w:spacing w:before="120"/>
              <w:rPr>
                <w:rFonts w:cstheme="minorHAnsi"/>
                <w:b/>
              </w:rPr>
            </w:pPr>
            <w:r w:rsidRPr="00520C23">
              <w:rPr>
                <w:rFonts w:cstheme="minorHAnsi"/>
                <w:b/>
              </w:rPr>
              <w:t>Code of Practice</w:t>
            </w:r>
          </w:p>
          <w:p w14:paraId="0C74014A" w14:textId="638A60AA" w:rsidR="00472715" w:rsidRPr="00520C23" w:rsidRDefault="00472715" w:rsidP="00472715">
            <w:pPr>
              <w:spacing w:before="120"/>
              <w:rPr>
                <w:rFonts w:cstheme="minorHAnsi"/>
              </w:rPr>
            </w:pPr>
            <w:r w:rsidRPr="00520C23">
              <w:rPr>
                <w:rFonts w:cstheme="minorHAnsi"/>
              </w:rPr>
              <w:t>Part D — Methane emissions monitoring, leak management, detection and reporting (sets out minimum standards).</w:t>
            </w:r>
          </w:p>
          <w:p w14:paraId="0B7EDECC" w14:textId="77777777" w:rsidR="00472715" w:rsidRPr="00520C23" w:rsidRDefault="00472715" w:rsidP="00472715">
            <w:pPr>
              <w:spacing w:before="120"/>
              <w:rPr>
                <w:rFonts w:cstheme="minorHAnsi"/>
              </w:rPr>
            </w:pPr>
          </w:p>
          <w:p w14:paraId="466230C9" w14:textId="03346121" w:rsidR="00472715" w:rsidRPr="00520C23" w:rsidRDefault="00472715" w:rsidP="00472715">
            <w:pPr>
              <w:spacing w:before="120"/>
              <w:rPr>
                <w:rFonts w:cstheme="minorHAnsi"/>
              </w:rPr>
            </w:pPr>
          </w:p>
        </w:tc>
        <w:tc>
          <w:tcPr>
            <w:tcW w:w="5310" w:type="dxa"/>
            <w:shd w:val="clear" w:color="auto" w:fill="E2EFD9" w:themeFill="accent6" w:themeFillTint="33"/>
          </w:tcPr>
          <w:p w14:paraId="4623C7C0" w14:textId="77777777" w:rsidR="00472715" w:rsidRPr="00520C23" w:rsidRDefault="00472715" w:rsidP="00472715">
            <w:pPr>
              <w:spacing w:before="120"/>
              <w:rPr>
                <w:rFonts w:cstheme="minorHAnsi"/>
              </w:rPr>
            </w:pPr>
            <w:r w:rsidRPr="00520C23">
              <w:rPr>
                <w:rFonts w:cstheme="minorHAnsi"/>
              </w:rPr>
              <w:t xml:space="preserve">The Code adequately addresses recommendation 9.2. </w:t>
            </w:r>
          </w:p>
          <w:p w14:paraId="1A0CC97B" w14:textId="126C47FE" w:rsidR="00472715" w:rsidRPr="00520C23" w:rsidRDefault="00472715" w:rsidP="00472715">
            <w:pPr>
              <w:spacing w:before="120"/>
              <w:rPr>
                <w:rFonts w:cstheme="minorHAnsi"/>
                <w:i/>
                <w:iCs/>
                <w:u w:val="single"/>
              </w:rPr>
            </w:pPr>
            <w:r w:rsidRPr="00520C23">
              <w:rPr>
                <w:rFonts w:cstheme="minorHAnsi"/>
                <w:i/>
                <w:iCs/>
                <w:u w:val="single"/>
              </w:rPr>
              <w:t>Comments</w:t>
            </w:r>
          </w:p>
          <w:p w14:paraId="2128C620" w14:textId="77777777" w:rsidR="00472715" w:rsidRPr="00520C23" w:rsidRDefault="00472715" w:rsidP="00472715">
            <w:pPr>
              <w:pStyle w:val="ListParagraph"/>
              <w:numPr>
                <w:ilvl w:val="0"/>
                <w:numId w:val="9"/>
              </w:numPr>
              <w:spacing w:before="120"/>
              <w:rPr>
                <w:rFonts w:cstheme="minorHAnsi"/>
              </w:rPr>
            </w:pPr>
            <w:r w:rsidRPr="00520C23">
              <w:rPr>
                <w:rFonts w:cstheme="minorHAnsi"/>
              </w:rPr>
              <w:t xml:space="preserve">Monitoring and reporting efforts in the Code would be significantly strengthened (and the intention of the Inquiry would be better implemented) if all “preferred” requirements in Part D of the Code were made “mandatory” requirements. </w:t>
            </w:r>
          </w:p>
          <w:p w14:paraId="48EC1EA5" w14:textId="442D83DE" w:rsidR="00472715" w:rsidRPr="00520C23" w:rsidRDefault="00472715" w:rsidP="00472715">
            <w:pPr>
              <w:pStyle w:val="ListParagraph"/>
              <w:numPr>
                <w:ilvl w:val="0"/>
                <w:numId w:val="9"/>
              </w:numPr>
              <w:spacing w:before="120"/>
              <w:rPr>
                <w:rFonts w:cstheme="minorHAnsi"/>
              </w:rPr>
            </w:pPr>
            <w:r w:rsidRPr="00520C23">
              <w:rPr>
                <w:rFonts w:cstheme="minorHAnsi"/>
              </w:rPr>
              <w:t>For example, in the body of the Inquiry report, the panel recommended that “a formal site-wide leak inspection and repair program should be conducted that is consistent with the US EPA NSPS standards” (see page 226 of the Inquiry’s report). However, Code D.5.3.3(a) lists as a “Preferred” requirement that “The minimum requirements for gas detection instruments, operation and calibration procedures should be consistent with the requirements in US NSPS 2016...”.  Likewise, Code D.5.2.3 – again a “Preferred” requirement states that the frequency of methane emissions inspection should be consistent with US NSPS 2016.</w:t>
            </w:r>
          </w:p>
        </w:tc>
      </w:tr>
      <w:tr w:rsidR="00EA3C33" w:rsidRPr="00520C23" w14:paraId="47EF8467" w14:textId="65F2C9A7" w:rsidTr="00EA3C33">
        <w:tc>
          <w:tcPr>
            <w:tcW w:w="846" w:type="dxa"/>
            <w:shd w:val="clear" w:color="auto" w:fill="auto"/>
          </w:tcPr>
          <w:p w14:paraId="7DB8898B" w14:textId="64AEB2D1" w:rsidR="00472715" w:rsidRPr="00520C23" w:rsidRDefault="00472715" w:rsidP="00472715">
            <w:pPr>
              <w:spacing w:before="120"/>
              <w:jc w:val="center"/>
              <w:rPr>
                <w:rFonts w:cstheme="minorHAnsi"/>
              </w:rPr>
            </w:pPr>
            <w:r w:rsidRPr="00520C23">
              <w:rPr>
                <w:rFonts w:cstheme="minorHAnsi"/>
              </w:rPr>
              <w:t>9.3</w:t>
            </w:r>
          </w:p>
        </w:tc>
        <w:tc>
          <w:tcPr>
            <w:tcW w:w="4819" w:type="dxa"/>
            <w:shd w:val="clear" w:color="auto" w:fill="auto"/>
          </w:tcPr>
          <w:p w14:paraId="0281C858" w14:textId="0F9E1CB0" w:rsidR="00472715" w:rsidRPr="00520C23" w:rsidRDefault="00472715" w:rsidP="00472715">
            <w:pPr>
              <w:spacing w:before="120"/>
              <w:rPr>
                <w:rFonts w:cstheme="minorHAnsi"/>
                <w:i/>
                <w:iCs/>
              </w:rPr>
            </w:pPr>
            <w:r w:rsidRPr="00520C23">
              <w:rPr>
                <w:rFonts w:cstheme="minorHAnsi"/>
                <w:i/>
                <w:iCs/>
              </w:rPr>
              <w:t xml:space="preserve">That baseline monitoring of methane concentrations be undertaken for at least six months prior to the grant of any further exploration approvals. In areas where hydraulic fracturing has already occurred, the baseline monitoring should be undertaken at least a year prior to the grant of any production approvals. </w:t>
            </w:r>
          </w:p>
        </w:tc>
        <w:tc>
          <w:tcPr>
            <w:tcW w:w="5760" w:type="dxa"/>
            <w:shd w:val="clear" w:color="auto" w:fill="auto"/>
          </w:tcPr>
          <w:p w14:paraId="08684F72" w14:textId="285FBB76" w:rsidR="00472715" w:rsidRPr="00520C23" w:rsidDel="00E16B67" w:rsidRDefault="00472715" w:rsidP="00472715">
            <w:pPr>
              <w:spacing w:before="120"/>
            </w:pPr>
            <w:r w:rsidRPr="00520C23">
              <w:rPr>
                <w:rFonts w:ascii="Calibri" w:eastAsia="Calibri" w:hAnsi="Calibri" w:cs="Calibri"/>
                <w:color w:val="313131"/>
              </w:rPr>
              <w:t>Measurement of regional baseline methane concentrations in the Beetaloo Sub-basin was commenced by CSIRO in July 2018, and concluded in March 2019. CSIRO has released three publicly available reports of the initial surveys for naturally occurring methane monitoring it has conducted.</w:t>
            </w:r>
          </w:p>
          <w:p w14:paraId="52280D27" w14:textId="1A16C4D9" w:rsidR="00472715" w:rsidRPr="00520C23" w:rsidRDefault="00472715" w:rsidP="00472715">
            <w:pPr>
              <w:spacing w:before="120"/>
            </w:pPr>
            <w:r w:rsidRPr="00520C23">
              <w:rPr>
                <w:rFonts w:ascii="Calibri" w:eastAsia="Calibri" w:hAnsi="Calibri" w:cs="Calibri"/>
                <w:color w:val="313131"/>
              </w:rPr>
              <w:t xml:space="preserve">The Northern Territory Government has worked with independent scientific experts to develop a Code of Practice relative to the Inquiry's recommendation. The Code is legally enforceable through the Petroleum (Environment) </w:t>
            </w:r>
            <w:r w:rsidRPr="00520C23">
              <w:rPr>
                <w:rFonts w:ascii="Calibri" w:eastAsia="Calibri" w:hAnsi="Calibri" w:cs="Calibri"/>
                <w:color w:val="313131"/>
              </w:rPr>
              <w:lastRenderedPageBreak/>
              <w:t xml:space="preserve">Regulations 2016. The finalised </w:t>
            </w:r>
            <w:hyperlink r:id="rId55">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 It contains requirements for baseline and ongoing methane monitoring.</w:t>
            </w:r>
          </w:p>
          <w:p w14:paraId="5AE46BA5" w14:textId="7ED33213" w:rsidR="00472715" w:rsidRPr="00520C23" w:rsidRDefault="00472715" w:rsidP="00472715">
            <w:pPr>
              <w:spacing w:before="120"/>
              <w:rPr>
                <w:b/>
                <w:bCs/>
              </w:rPr>
            </w:pPr>
          </w:p>
        </w:tc>
        <w:tc>
          <w:tcPr>
            <w:tcW w:w="5670" w:type="dxa"/>
            <w:shd w:val="clear" w:color="auto" w:fill="auto"/>
          </w:tcPr>
          <w:p w14:paraId="673CC1E5" w14:textId="3F6D3058" w:rsidR="00472715" w:rsidRPr="00520C23" w:rsidRDefault="00472715" w:rsidP="00472715">
            <w:pPr>
              <w:spacing w:before="120"/>
              <w:rPr>
                <w:rFonts w:cstheme="minorHAnsi"/>
                <w:b/>
              </w:rPr>
            </w:pPr>
            <w:r w:rsidRPr="00520C23">
              <w:rPr>
                <w:rFonts w:cstheme="minorHAnsi"/>
                <w:b/>
              </w:rPr>
              <w:lastRenderedPageBreak/>
              <w:t>Code of Practice</w:t>
            </w:r>
          </w:p>
          <w:p w14:paraId="16617CEF" w14:textId="1BB41956" w:rsidR="00472715" w:rsidRPr="00520C23" w:rsidRDefault="00472715" w:rsidP="00472715">
            <w:pPr>
              <w:spacing w:before="120"/>
              <w:rPr>
                <w:rFonts w:cstheme="minorHAnsi"/>
                <w:u w:val="single"/>
              </w:rPr>
            </w:pPr>
            <w:r w:rsidRPr="00520C23">
              <w:rPr>
                <w:rFonts w:cstheme="minorHAnsi"/>
                <w:u w:val="single"/>
              </w:rPr>
              <w:t xml:space="preserve">D.4.1 Baseline Methane Assessment </w:t>
            </w:r>
          </w:p>
          <w:p w14:paraId="665866EB" w14:textId="77777777" w:rsidR="00472715" w:rsidRPr="00520C23" w:rsidRDefault="00472715" w:rsidP="00472715">
            <w:pPr>
              <w:spacing w:before="120"/>
              <w:rPr>
                <w:rFonts w:cstheme="minorHAnsi"/>
                <w:u w:val="single"/>
              </w:rPr>
            </w:pPr>
            <w:r w:rsidRPr="00520C23">
              <w:rPr>
                <w:rFonts w:cstheme="minorHAnsi"/>
                <w:u w:val="single"/>
              </w:rPr>
              <w:t xml:space="preserve">D.4.1.2 Mandatory Requirements </w:t>
            </w:r>
          </w:p>
          <w:p w14:paraId="71C6F507" w14:textId="77777777" w:rsidR="00472715" w:rsidRPr="00520C23" w:rsidRDefault="00472715" w:rsidP="00472715">
            <w:pPr>
              <w:spacing w:before="120"/>
              <w:rPr>
                <w:rFonts w:cstheme="minorHAnsi"/>
                <w:i/>
                <w:iCs/>
              </w:rPr>
            </w:pPr>
            <w:r w:rsidRPr="00520C23">
              <w:rPr>
                <w:rFonts w:cstheme="minorHAnsi"/>
                <w:i/>
                <w:iCs/>
              </w:rPr>
              <w:t xml:space="preserve">(a) Methane assessment (i.e. mobile surveys of ambient methane concentration; identification and location of main methane sources; quantification of emission rates if possible) must be undertaken for the region or catchment for at least </w:t>
            </w:r>
            <w:r w:rsidRPr="00520C23">
              <w:rPr>
                <w:rFonts w:cstheme="minorHAnsi"/>
                <w:i/>
                <w:iCs/>
              </w:rPr>
              <w:lastRenderedPageBreak/>
              <w:t xml:space="preserve">six months prior to the granting of exploration approvals involving hydraulic fracturing. </w:t>
            </w:r>
          </w:p>
          <w:p w14:paraId="7237F09D" w14:textId="45D64366" w:rsidR="00472715" w:rsidRPr="00520C23" w:rsidRDefault="00472715" w:rsidP="00472715">
            <w:pPr>
              <w:spacing w:before="120"/>
              <w:rPr>
                <w:rFonts w:cstheme="minorHAnsi"/>
                <w:i/>
                <w:iCs/>
              </w:rPr>
            </w:pPr>
            <w:r w:rsidRPr="00520C23">
              <w:rPr>
                <w:rFonts w:cstheme="minorHAnsi"/>
                <w:i/>
                <w:iCs/>
              </w:rPr>
              <w:t>(b) In areas where hydraulic fracturing has already occurred, methane assessment (i.e. mobile surveys of ambient methane concentration; identification and location of main methane sources; quantification of emission rates if possible) for the region must be undertaken for at least a year prior to the granting of production approvals.</w:t>
            </w:r>
          </w:p>
          <w:p w14:paraId="47E46A89" w14:textId="04CDA0E5" w:rsidR="00472715" w:rsidRPr="00520C23" w:rsidRDefault="00472715" w:rsidP="00472715">
            <w:pPr>
              <w:spacing w:before="120"/>
              <w:rPr>
                <w:rFonts w:cstheme="minorHAnsi"/>
                <w:i/>
                <w:iCs/>
              </w:rPr>
            </w:pPr>
            <w:r w:rsidRPr="00520C23">
              <w:rPr>
                <w:rFonts w:cstheme="minorHAnsi"/>
                <w:i/>
                <w:iCs/>
              </w:rPr>
              <w:t>…</w:t>
            </w:r>
          </w:p>
          <w:p w14:paraId="5CAC7FB4" w14:textId="2F7F1B51" w:rsidR="00472715" w:rsidRPr="00520C23" w:rsidRDefault="00472715" w:rsidP="00472715">
            <w:pPr>
              <w:spacing w:before="120"/>
              <w:rPr>
                <w:rFonts w:cstheme="minorHAnsi"/>
                <w:i/>
                <w:iCs/>
              </w:rPr>
            </w:pPr>
            <w:r w:rsidRPr="00520C23">
              <w:rPr>
                <w:rFonts w:cstheme="minorHAnsi"/>
                <w:i/>
                <w:iCs/>
              </w:rPr>
              <w:t>(e) Baseline assessment must be undertaken by persons or organisations approved by the Northern Territory Government.</w:t>
            </w:r>
          </w:p>
          <w:p w14:paraId="0D782D42" w14:textId="0CB860A7" w:rsidR="00D464F6" w:rsidRDefault="00472715" w:rsidP="00472715">
            <w:pPr>
              <w:spacing w:before="120"/>
              <w:rPr>
                <w:rFonts w:ascii="Calibri" w:eastAsia="Calibri" w:hAnsi="Calibri" w:cs="Calibri"/>
                <w:color w:val="313131"/>
              </w:rPr>
            </w:pPr>
            <w:r w:rsidRPr="00520C23">
              <w:rPr>
                <w:rFonts w:cstheme="minorHAnsi"/>
                <w:iCs/>
              </w:rPr>
              <w:t>Note also</w:t>
            </w:r>
            <w:r w:rsidRPr="00520C23">
              <w:rPr>
                <w:rFonts w:cstheme="minorHAnsi"/>
              </w:rPr>
              <w:t xml:space="preserve"> that the NT Government’s implementation website says: “</w:t>
            </w:r>
            <w:r w:rsidRPr="00520C23">
              <w:rPr>
                <w:rFonts w:cstheme="minorHAnsi"/>
                <w:i/>
                <w:iCs/>
              </w:rPr>
              <w:t>Measurement of regional baseline methane concentrations in the Beetaloo Sub-basin was commenced by CSIRO in July 2018, and concluded in March 2019. CSIRO has released three publicly available reports of the initial surveys for naturally occurring methane monitoring it has conducted.”</w:t>
            </w:r>
            <w:r w:rsidR="00D464F6" w:rsidRPr="2B192441">
              <w:rPr>
                <w:rFonts w:ascii="Calibri" w:eastAsia="Calibri" w:hAnsi="Calibri" w:cs="Calibri"/>
                <w:color w:val="313131"/>
              </w:rPr>
              <w:t xml:space="preserve"> </w:t>
            </w:r>
          </w:p>
          <w:p w14:paraId="083AEC85" w14:textId="38B3B784" w:rsidR="00D464F6" w:rsidRPr="00D464F6" w:rsidRDefault="00D464F6" w:rsidP="00472715">
            <w:pPr>
              <w:spacing w:before="120"/>
              <w:rPr>
                <w:rFonts w:ascii="Calibri" w:eastAsia="Calibri" w:hAnsi="Calibri" w:cs="Calibri"/>
                <w:b/>
                <w:bCs/>
                <w:color w:val="313131"/>
              </w:rPr>
            </w:pPr>
            <w:r w:rsidRPr="00D464F6">
              <w:rPr>
                <w:rFonts w:ascii="Calibri" w:eastAsia="Calibri" w:hAnsi="Calibri" w:cs="Calibri"/>
                <w:b/>
                <w:bCs/>
                <w:color w:val="313131"/>
              </w:rPr>
              <w:t>SREBA</w:t>
            </w:r>
          </w:p>
          <w:p w14:paraId="6A21BD1A" w14:textId="1D3A1A60" w:rsidR="00472715" w:rsidRPr="00520C23" w:rsidRDefault="00D464F6" w:rsidP="00472715">
            <w:pPr>
              <w:spacing w:before="120"/>
              <w:rPr>
                <w:rFonts w:cstheme="minorHAnsi"/>
              </w:rPr>
            </w:pPr>
            <w:r w:rsidRPr="2B192441">
              <w:rPr>
                <w:rFonts w:ascii="Calibri" w:eastAsia="Calibri" w:hAnsi="Calibri" w:cs="Calibri"/>
                <w:color w:val="313131"/>
              </w:rPr>
              <w:t>The methane (and greenhouse gas) baseline studies for the Beetaloo SREBA Regional Report established</w:t>
            </w:r>
            <w:r w:rsidR="001C7C5A">
              <w:rPr>
                <w:rFonts w:ascii="Calibri" w:eastAsia="Calibri" w:hAnsi="Calibri" w:cs="Calibri"/>
                <w:color w:val="313131"/>
              </w:rPr>
              <w:t>:</w:t>
            </w:r>
            <w:r w:rsidRPr="2B192441">
              <w:rPr>
                <w:rFonts w:ascii="Calibri" w:eastAsia="Calibri" w:hAnsi="Calibri" w:cs="Calibri"/>
                <w:color w:val="313131"/>
              </w:rPr>
              <w:t xml:space="preserve"> </w:t>
            </w:r>
            <w:r w:rsidR="001C7C5A">
              <w:rPr>
                <w:rFonts w:ascii="Calibri" w:eastAsia="Calibri" w:hAnsi="Calibri" w:cs="Calibri"/>
                <w:color w:val="313131"/>
              </w:rPr>
              <w:t>(</w:t>
            </w:r>
            <w:r w:rsidRPr="2B192441">
              <w:rPr>
                <w:rFonts w:ascii="Calibri" w:eastAsia="Calibri" w:hAnsi="Calibri" w:cs="Calibri"/>
                <w:color w:val="313131"/>
              </w:rPr>
              <w:t>1) a methane baseline</w:t>
            </w:r>
            <w:r w:rsidR="001C7C5A">
              <w:rPr>
                <w:rFonts w:ascii="Calibri" w:eastAsia="Calibri" w:hAnsi="Calibri" w:cs="Calibri"/>
                <w:color w:val="313131"/>
              </w:rPr>
              <w:t>;</w:t>
            </w:r>
            <w:r w:rsidRPr="2B192441">
              <w:rPr>
                <w:rFonts w:ascii="Calibri" w:eastAsia="Calibri" w:hAnsi="Calibri" w:cs="Calibri"/>
                <w:color w:val="313131"/>
              </w:rPr>
              <w:t xml:space="preserve"> </w:t>
            </w:r>
            <w:r w:rsidR="001C7C5A">
              <w:rPr>
                <w:rFonts w:ascii="Calibri" w:eastAsia="Calibri" w:hAnsi="Calibri" w:cs="Calibri"/>
                <w:color w:val="313131"/>
              </w:rPr>
              <w:t>(</w:t>
            </w:r>
            <w:r w:rsidRPr="2B192441">
              <w:rPr>
                <w:rFonts w:ascii="Calibri" w:eastAsia="Calibri" w:hAnsi="Calibri" w:cs="Calibri"/>
                <w:color w:val="313131"/>
              </w:rPr>
              <w:t>2) reference sites</w:t>
            </w:r>
            <w:r w:rsidR="001C7C5A">
              <w:rPr>
                <w:rFonts w:ascii="Calibri" w:eastAsia="Calibri" w:hAnsi="Calibri" w:cs="Calibri"/>
                <w:color w:val="313131"/>
              </w:rPr>
              <w:t>;</w:t>
            </w:r>
            <w:r w:rsidRPr="2B192441">
              <w:rPr>
                <w:rFonts w:ascii="Calibri" w:eastAsia="Calibri" w:hAnsi="Calibri" w:cs="Calibri"/>
                <w:color w:val="313131"/>
              </w:rPr>
              <w:t xml:space="preserve"> and </w:t>
            </w:r>
            <w:r w:rsidR="001C7C5A">
              <w:rPr>
                <w:rFonts w:ascii="Calibri" w:eastAsia="Calibri" w:hAnsi="Calibri" w:cs="Calibri"/>
                <w:color w:val="313131"/>
              </w:rPr>
              <w:t>(</w:t>
            </w:r>
            <w:r w:rsidRPr="2B192441">
              <w:rPr>
                <w:rFonts w:ascii="Calibri" w:eastAsia="Calibri" w:hAnsi="Calibri" w:cs="Calibri"/>
                <w:color w:val="313131"/>
              </w:rPr>
              <w:t>3) a program for ongoing monitoring. The CSIRO-conducted survey measured ambient methane concentrations across the region, used a basin conceptual model to identify areas of potential geological seeps, identified and characterised potential methane sources, and identified indicators relevant for ongoing monitoring.</w:t>
            </w:r>
          </w:p>
        </w:tc>
        <w:tc>
          <w:tcPr>
            <w:tcW w:w="5310" w:type="dxa"/>
            <w:shd w:val="clear" w:color="auto" w:fill="E2EFD9" w:themeFill="accent6" w:themeFillTint="33"/>
          </w:tcPr>
          <w:p w14:paraId="2DE34617" w14:textId="3B022875" w:rsidR="00472715" w:rsidRPr="00520C23" w:rsidRDefault="00472715" w:rsidP="00472715">
            <w:pPr>
              <w:spacing w:before="120"/>
              <w:rPr>
                <w:rFonts w:cstheme="minorHAnsi"/>
              </w:rPr>
            </w:pPr>
            <w:r w:rsidRPr="00520C23">
              <w:rPr>
                <w:rFonts w:cstheme="minorHAnsi"/>
              </w:rPr>
              <w:lastRenderedPageBreak/>
              <w:t xml:space="preserve">The Code </w:t>
            </w:r>
            <w:r w:rsidR="006C79AC">
              <w:rPr>
                <w:rFonts w:cstheme="minorHAnsi"/>
              </w:rPr>
              <w:t xml:space="preserve">and SREBA </w:t>
            </w:r>
            <w:r w:rsidRPr="00520C23">
              <w:rPr>
                <w:rFonts w:cstheme="minorHAnsi"/>
              </w:rPr>
              <w:t>adequately address recommendation 9.3</w:t>
            </w:r>
            <w:r w:rsidR="00493036">
              <w:rPr>
                <w:rFonts w:cstheme="minorHAnsi"/>
              </w:rPr>
              <w:t xml:space="preserve">, but </w:t>
            </w:r>
            <w:r w:rsidR="00291214">
              <w:rPr>
                <w:rFonts w:cstheme="minorHAnsi"/>
              </w:rPr>
              <w:t>several flaws in implementation remain.</w:t>
            </w:r>
            <w:r w:rsidRPr="00520C23">
              <w:rPr>
                <w:rFonts w:cstheme="minorHAnsi"/>
              </w:rPr>
              <w:t xml:space="preserve"> </w:t>
            </w:r>
          </w:p>
          <w:p w14:paraId="7F2BB0C3" w14:textId="2B9F7A54" w:rsidR="00472715" w:rsidRPr="00520C23" w:rsidRDefault="00472715" w:rsidP="00472715">
            <w:pPr>
              <w:spacing w:before="120"/>
              <w:rPr>
                <w:rFonts w:cstheme="minorHAnsi"/>
                <w:i/>
                <w:iCs/>
                <w:u w:val="single"/>
              </w:rPr>
            </w:pPr>
            <w:r w:rsidRPr="00520C23">
              <w:rPr>
                <w:rFonts w:cstheme="minorHAnsi"/>
                <w:i/>
                <w:iCs/>
                <w:u w:val="single"/>
              </w:rPr>
              <w:t>Comments</w:t>
            </w:r>
          </w:p>
          <w:p w14:paraId="6A910205" w14:textId="104AE565" w:rsidR="00472715" w:rsidRPr="00520C23" w:rsidRDefault="00472715" w:rsidP="00472715">
            <w:pPr>
              <w:pStyle w:val="ListParagraph"/>
              <w:numPr>
                <w:ilvl w:val="0"/>
                <w:numId w:val="18"/>
              </w:numPr>
              <w:spacing w:before="120"/>
            </w:pPr>
            <w:r w:rsidRPr="427EBC34">
              <w:t xml:space="preserve">12 months of baseline monitoring data from an area that already has fracking ongoing in exploration wells is a poor substitute for a before-fracking study. </w:t>
            </w:r>
            <w:r w:rsidR="0FB119BB" w:rsidRPr="427EBC34">
              <w:t>The</w:t>
            </w:r>
            <w:r w:rsidR="007E1D32">
              <w:t xml:space="preserve"> recently published</w:t>
            </w:r>
            <w:r w:rsidR="0FB119BB" w:rsidRPr="427EBC34">
              <w:t xml:space="preserve"> SREBA methane and greenhouse gas baseline studies do not address this </w:t>
            </w:r>
            <w:r w:rsidR="0FB119BB" w:rsidRPr="427EBC34">
              <w:lastRenderedPageBreak/>
              <w:t>limitation</w:t>
            </w:r>
            <w:r w:rsidR="756A22B7" w:rsidRPr="427EBC34">
              <w:t>.</w:t>
            </w:r>
            <w:r w:rsidR="00E268D2" w:rsidRPr="001949F5">
              <w:t xml:space="preserve"> Th</w:t>
            </w:r>
            <w:r w:rsidR="00821A2C">
              <w:t>ose</w:t>
            </w:r>
            <w:r w:rsidR="00E268D2" w:rsidRPr="001949F5">
              <w:t xml:space="preserve"> S</w:t>
            </w:r>
            <w:r w:rsidR="00E268D2">
              <w:t>REBA</w:t>
            </w:r>
            <w:r w:rsidR="00E268D2" w:rsidRPr="001949F5">
              <w:t xml:space="preserve"> studies investigated </w:t>
            </w:r>
            <w:r w:rsidR="00E268D2">
              <w:t>only a</w:t>
            </w:r>
            <w:r w:rsidR="00E268D2" w:rsidRPr="001949F5">
              <w:t xml:space="preserve"> single site of previous hydraulic fracturing </w:t>
            </w:r>
            <w:r w:rsidR="00E268D2">
              <w:t>activity. During</w:t>
            </w:r>
            <w:r w:rsidR="00E268D2" w:rsidDel="001949F5">
              <w:t xml:space="preserve"> the survey, methane measurements were made nea</w:t>
            </w:r>
            <w:r w:rsidR="00E268D2">
              <w:t xml:space="preserve">r </w:t>
            </w:r>
            <w:r w:rsidR="00E268D2" w:rsidDel="001949F5">
              <w:t>some gas infrastructure in the south-east of the study area, including the drill rig pad for the Shenandoah 1 exploration well and the much older Balmain 1 exploration well</w:t>
            </w:r>
            <w:r w:rsidR="00E268D2">
              <w:t xml:space="preserve"> (Shenandoah 1 and Balmain 1 wells). Both wells </w:t>
            </w:r>
            <w:r w:rsidR="00F42DF9">
              <w:t>were</w:t>
            </w:r>
            <w:r w:rsidR="00E268D2">
              <w:t xml:space="preserve"> plugged and abandoned. Elevated methane and ethane levels were detected but unattributable to a source. The SREBA notes that </w:t>
            </w:r>
            <w:r w:rsidR="008034A8">
              <w:t>“</w:t>
            </w:r>
            <w:r w:rsidR="00E268D2">
              <w:t>[m]ore thorough investigation of this site is warranted</w:t>
            </w:r>
            <w:r w:rsidR="008034A8">
              <w:t>”</w:t>
            </w:r>
            <w:r w:rsidR="00E268D2">
              <w:t xml:space="preserve"> (Beetaloo SREBA Regional Report</w:t>
            </w:r>
            <w:r w:rsidR="000522FD">
              <w:t>, p. 213</w:t>
            </w:r>
            <w:r w:rsidR="00E268D2">
              <w:t xml:space="preserve">). </w:t>
            </w:r>
          </w:p>
          <w:p w14:paraId="1CEA380E" w14:textId="4D2B5402" w:rsidR="46DA44A9" w:rsidRDefault="00472715" w:rsidP="004A2706">
            <w:pPr>
              <w:pStyle w:val="ListParagraph"/>
              <w:numPr>
                <w:ilvl w:val="0"/>
                <w:numId w:val="18"/>
              </w:numPr>
              <w:spacing w:before="120"/>
            </w:pPr>
            <w:r w:rsidRPr="427EBC34">
              <w:t xml:space="preserve">Note also that there does not appear to be a </w:t>
            </w:r>
            <w:r w:rsidR="006E09EC">
              <w:t xml:space="preserve">legislated </w:t>
            </w:r>
            <w:r w:rsidRPr="427EBC34">
              <w:t xml:space="preserve">requirement for the baseline monitoring to be publicly released (see also comments on recommendation 9.5 below). </w:t>
            </w:r>
          </w:p>
          <w:p w14:paraId="00CDE39A" w14:textId="3D467F98" w:rsidR="00B4274E" w:rsidRPr="00520C23" w:rsidRDefault="00B4274E" w:rsidP="00F90BAA">
            <w:pPr>
              <w:pStyle w:val="ListParagraph"/>
              <w:spacing w:before="120"/>
              <w:ind w:left="360"/>
            </w:pPr>
          </w:p>
        </w:tc>
      </w:tr>
      <w:tr w:rsidR="00EA3C33" w:rsidRPr="00520C23" w14:paraId="5ACCD54C" w14:textId="77777777" w:rsidTr="00EA3C33">
        <w:trPr>
          <w:trHeight w:val="782"/>
        </w:trPr>
        <w:tc>
          <w:tcPr>
            <w:tcW w:w="846" w:type="dxa"/>
            <w:shd w:val="clear" w:color="auto" w:fill="auto"/>
          </w:tcPr>
          <w:p w14:paraId="1F3B8223" w14:textId="6A901099" w:rsidR="00472715" w:rsidRPr="00520C23" w:rsidRDefault="00472715" w:rsidP="00472715">
            <w:pPr>
              <w:spacing w:before="120"/>
              <w:jc w:val="center"/>
              <w:rPr>
                <w:rFonts w:cstheme="minorHAnsi"/>
              </w:rPr>
            </w:pPr>
            <w:r w:rsidRPr="00520C23">
              <w:rPr>
                <w:rFonts w:cstheme="minorHAnsi"/>
              </w:rPr>
              <w:lastRenderedPageBreak/>
              <w:t>9.4</w:t>
            </w:r>
          </w:p>
        </w:tc>
        <w:tc>
          <w:tcPr>
            <w:tcW w:w="4819" w:type="dxa"/>
            <w:shd w:val="clear" w:color="auto" w:fill="auto"/>
          </w:tcPr>
          <w:p w14:paraId="48FC363B" w14:textId="5FC4BA85" w:rsidR="00472715" w:rsidRPr="00520C23" w:rsidRDefault="00472715" w:rsidP="00472715">
            <w:pPr>
              <w:spacing w:before="120"/>
              <w:rPr>
                <w:rFonts w:cstheme="minorHAnsi"/>
                <w:i/>
                <w:iCs/>
              </w:rPr>
            </w:pPr>
            <w:r w:rsidRPr="00520C23">
              <w:rPr>
                <w:rFonts w:cstheme="minorHAnsi"/>
                <w:i/>
                <w:iCs/>
              </w:rPr>
              <w:t>That baseline and ongoing monitoring be the responsibility of the regulator and funded by the gas industry.</w:t>
            </w:r>
          </w:p>
        </w:tc>
        <w:tc>
          <w:tcPr>
            <w:tcW w:w="5760" w:type="dxa"/>
            <w:shd w:val="clear" w:color="auto" w:fill="auto"/>
          </w:tcPr>
          <w:p w14:paraId="6D1BF842" w14:textId="77777777" w:rsidR="00472715" w:rsidRPr="00520C23" w:rsidRDefault="00472715" w:rsidP="00472715">
            <w:pPr>
              <w:spacing w:before="120"/>
              <w:rPr>
                <w:rFonts w:cstheme="minorHAnsi"/>
                <w:bCs/>
              </w:rPr>
            </w:pPr>
            <w:r w:rsidRPr="00520C23">
              <w:rPr>
                <w:rFonts w:cstheme="minorHAnsi"/>
                <w:bCs/>
              </w:rPr>
              <w:t>Exploration permit holders in the Beetaloo Sub-basin will pay the NT Government for the baseline methane monitoring work CSIRO has completed.</w:t>
            </w:r>
          </w:p>
          <w:p w14:paraId="650FE16D" w14:textId="77777777" w:rsidR="00472715" w:rsidRPr="00520C23" w:rsidRDefault="00472715" w:rsidP="00472715">
            <w:pPr>
              <w:spacing w:before="120"/>
              <w:rPr>
                <w:rFonts w:cstheme="minorHAnsi"/>
                <w:bCs/>
              </w:rPr>
            </w:pPr>
            <w:r w:rsidRPr="00520C23">
              <w:rPr>
                <w:rFonts w:cstheme="minorHAnsi"/>
                <w:bCs/>
              </w:rPr>
              <w:t>Industry will pay for the baseline through a cost recovery exercise. The Northern Territory Government has worked with independent scientific experts to develop a Code of Practice relative to the Inquiry's recommendation. It contains requirements for baseline and ongoing methane monitoring. The Code is legally enforceable through the Petroleum (Environment) Regulations 2016.</w:t>
            </w:r>
          </w:p>
          <w:p w14:paraId="2D4810B4" w14:textId="77777777" w:rsidR="00472715" w:rsidRPr="00520C23" w:rsidRDefault="00472715" w:rsidP="00472715">
            <w:pPr>
              <w:spacing w:before="120"/>
              <w:rPr>
                <w:rFonts w:cstheme="minorHAnsi"/>
                <w:bCs/>
              </w:rPr>
            </w:pPr>
            <w:r w:rsidRPr="00520C23">
              <w:rPr>
                <w:rFonts w:cstheme="minorHAnsi"/>
                <w:bCs/>
              </w:rPr>
              <w:t>The finalised </w:t>
            </w:r>
            <w:hyperlink r:id="rId56" w:history="1">
              <w:r w:rsidRPr="00520C23">
                <w:rPr>
                  <w:rStyle w:val="Hyperlink"/>
                  <w:rFonts w:cstheme="minorHAnsi"/>
                  <w:bCs/>
                </w:rPr>
                <w:t>Code</w:t>
              </w:r>
            </w:hyperlink>
            <w:r w:rsidRPr="00520C23">
              <w:rPr>
                <w:rFonts w:cstheme="minorHAnsi"/>
                <w:bCs/>
              </w:rPr>
              <w:t> was published on 12 June 2019.</w:t>
            </w:r>
          </w:p>
          <w:p w14:paraId="0EB95425" w14:textId="77777777" w:rsidR="00472715" w:rsidRPr="00520C23" w:rsidRDefault="00472715" w:rsidP="00472715">
            <w:pPr>
              <w:spacing w:before="120"/>
              <w:rPr>
                <w:rFonts w:cstheme="minorHAnsi"/>
                <w:bCs/>
              </w:rPr>
            </w:pPr>
          </w:p>
        </w:tc>
        <w:tc>
          <w:tcPr>
            <w:tcW w:w="5670" w:type="dxa"/>
            <w:shd w:val="clear" w:color="auto" w:fill="auto"/>
          </w:tcPr>
          <w:p w14:paraId="7D84C4A2" w14:textId="191ACFB6" w:rsidR="00472715" w:rsidRPr="00520C23" w:rsidRDefault="00472715" w:rsidP="00472715">
            <w:pPr>
              <w:spacing w:before="120"/>
              <w:rPr>
                <w:rFonts w:cstheme="minorHAnsi"/>
                <w:b/>
              </w:rPr>
            </w:pPr>
            <w:r w:rsidRPr="00520C23">
              <w:rPr>
                <w:rFonts w:cstheme="minorHAnsi"/>
                <w:b/>
              </w:rPr>
              <w:t>Code of Practice</w:t>
            </w:r>
          </w:p>
          <w:p w14:paraId="2A3BAF0F" w14:textId="22219603" w:rsidR="00472715" w:rsidRPr="00520C23" w:rsidRDefault="00472715" w:rsidP="00472715">
            <w:pPr>
              <w:spacing w:before="120"/>
              <w:rPr>
                <w:rFonts w:cstheme="minorHAnsi"/>
                <w:bCs/>
                <w:u w:val="single"/>
              </w:rPr>
            </w:pPr>
            <w:r w:rsidRPr="00520C23">
              <w:rPr>
                <w:rFonts w:cstheme="minorHAnsi"/>
                <w:bCs/>
                <w:u w:val="single"/>
              </w:rPr>
              <w:t xml:space="preserve">D.4 Regional methane monitoring </w:t>
            </w:r>
          </w:p>
          <w:p w14:paraId="53287108" w14:textId="17FEEFA1" w:rsidR="00472715" w:rsidRPr="00520C23" w:rsidRDefault="00472715" w:rsidP="00472715">
            <w:pPr>
              <w:spacing w:before="120"/>
              <w:rPr>
                <w:rFonts w:cstheme="minorHAnsi"/>
                <w:bCs/>
              </w:rPr>
            </w:pPr>
            <w:r w:rsidRPr="00520C23">
              <w:rPr>
                <w:rFonts w:cstheme="minorHAnsi"/>
                <w:bCs/>
              </w:rPr>
              <w:t xml:space="preserve">This section outlines requirements for the establishment of a baseline and ongoing monitoring of methane emissions in a region. Three types of regional monitoring programs are required: </w:t>
            </w:r>
          </w:p>
          <w:p w14:paraId="01AC1CC0" w14:textId="77777777" w:rsidR="00472715" w:rsidRPr="00520C23" w:rsidRDefault="00472715" w:rsidP="00472715">
            <w:pPr>
              <w:pStyle w:val="ListParagraph"/>
              <w:numPr>
                <w:ilvl w:val="0"/>
                <w:numId w:val="60"/>
              </w:numPr>
              <w:spacing w:before="120"/>
              <w:rPr>
                <w:rFonts w:cstheme="minorHAnsi"/>
                <w:bCs/>
              </w:rPr>
            </w:pPr>
            <w:r w:rsidRPr="00520C23">
              <w:rPr>
                <w:rFonts w:cstheme="minorHAnsi"/>
                <w:b/>
              </w:rPr>
              <w:t>Baseline Methane Assessments</w:t>
            </w:r>
            <w:r w:rsidRPr="00520C23">
              <w:rPr>
                <w:rFonts w:cstheme="minorHAnsi"/>
                <w:bCs/>
              </w:rPr>
              <w:t xml:space="preserve">, described in D.4.1, are conducted to characterise the ambient methane levels, which may vary with seasons, and to identify the major sources of methane prior to a prospective activity. This assessment may be done in conjunction with baseline methane surveys conducted for a Strategic Regional Environmental Baseline Assessment (SREBA). </w:t>
            </w:r>
          </w:p>
          <w:p w14:paraId="3B9DC694" w14:textId="77777777" w:rsidR="00472715" w:rsidRPr="00520C23" w:rsidRDefault="00472715" w:rsidP="00472715">
            <w:pPr>
              <w:pStyle w:val="ListParagraph"/>
              <w:numPr>
                <w:ilvl w:val="0"/>
                <w:numId w:val="60"/>
              </w:numPr>
              <w:spacing w:before="120"/>
              <w:rPr>
                <w:rFonts w:cstheme="minorHAnsi"/>
                <w:bCs/>
              </w:rPr>
            </w:pPr>
            <w:r w:rsidRPr="00520C23">
              <w:rPr>
                <w:rFonts w:cstheme="minorHAnsi"/>
                <w:b/>
              </w:rPr>
              <w:t>Regional Methane Assessment Programmes</w:t>
            </w:r>
            <w:r w:rsidRPr="00520C23">
              <w:rPr>
                <w:rFonts w:cstheme="minorHAnsi"/>
                <w:bCs/>
              </w:rPr>
              <w:t xml:space="preserve">, described in section D.4.2, are conducted to characterise the existing natural and anthropogenic sources of methane emissions across each permit or </w:t>
            </w:r>
            <w:r w:rsidRPr="00520C23">
              <w:rPr>
                <w:rFonts w:cstheme="minorHAnsi"/>
                <w:bCs/>
              </w:rPr>
              <w:lastRenderedPageBreak/>
              <w:t xml:space="preserve">licence area and adjacent areas before the commencement of exploration activity and immediately after the commencement of full-scale production. </w:t>
            </w:r>
          </w:p>
          <w:p w14:paraId="3382A5F9" w14:textId="636F3053" w:rsidR="00472715" w:rsidRPr="00520C23" w:rsidRDefault="00472715" w:rsidP="00472715">
            <w:pPr>
              <w:pStyle w:val="ListParagraph"/>
              <w:numPr>
                <w:ilvl w:val="0"/>
                <w:numId w:val="60"/>
              </w:numPr>
              <w:spacing w:before="120"/>
              <w:rPr>
                <w:rFonts w:cstheme="minorHAnsi"/>
                <w:bCs/>
              </w:rPr>
            </w:pPr>
            <w:r w:rsidRPr="00520C23">
              <w:rPr>
                <w:rFonts w:cstheme="minorHAnsi"/>
                <w:b/>
              </w:rPr>
              <w:t>Routine Periodic Atmospheric Monitoring Programmes</w:t>
            </w:r>
            <w:r w:rsidRPr="00520C23">
              <w:rPr>
                <w:rFonts w:cstheme="minorHAnsi"/>
                <w:bCs/>
              </w:rPr>
              <w:t>, described in D.4.3, are conducted to provide for periodic monitoring so that any changes in methane emissions can be detected during the life of a project that has entered the production phase. These assessments use the Regional Methane Assessment Programmes as their baseline.</w:t>
            </w:r>
          </w:p>
          <w:p w14:paraId="2FB398F0" w14:textId="77777777" w:rsidR="00472715" w:rsidRPr="00520C23" w:rsidRDefault="00472715" w:rsidP="00472715">
            <w:pPr>
              <w:spacing w:before="120"/>
              <w:rPr>
                <w:rFonts w:cstheme="minorHAnsi"/>
                <w:bCs/>
              </w:rPr>
            </w:pPr>
            <w:r w:rsidRPr="00520C23">
              <w:rPr>
                <w:rFonts w:cstheme="minorHAnsi"/>
                <w:bCs/>
              </w:rPr>
              <w:t xml:space="preserve">These assessments are conducted by or on behalf of the Northern Territory Government, </w:t>
            </w:r>
            <w:r w:rsidRPr="00520C23">
              <w:rPr>
                <w:rFonts w:cstheme="minorHAnsi"/>
                <w:b/>
              </w:rPr>
              <w:t>funded by industry</w:t>
            </w:r>
            <w:r w:rsidRPr="00520C23">
              <w:rPr>
                <w:rFonts w:cstheme="minorHAnsi"/>
                <w:bCs/>
              </w:rPr>
              <w:t>, and must be designed and implemented by a suitably qualified and experienced professional who is approved by the Minister.</w:t>
            </w:r>
          </w:p>
          <w:p w14:paraId="0A8C4673" w14:textId="5087875B" w:rsidR="00B271A9" w:rsidRPr="00F90BAA" w:rsidRDefault="00B271A9" w:rsidP="003F6487">
            <w:pPr>
              <w:spacing w:before="120"/>
              <w:rPr>
                <w:rFonts w:cstheme="minorHAnsi"/>
                <w:b/>
                <w:bCs/>
              </w:rPr>
            </w:pPr>
            <w:r w:rsidRPr="00F90BAA">
              <w:rPr>
                <w:rFonts w:cstheme="minorHAnsi"/>
                <w:b/>
                <w:bCs/>
              </w:rPr>
              <w:t>SREBA</w:t>
            </w:r>
          </w:p>
          <w:p w14:paraId="108AB745" w14:textId="78C3CC94" w:rsidR="003F6487" w:rsidRPr="003F6487" w:rsidRDefault="003F6487" w:rsidP="00F90BAA">
            <w:pPr>
              <w:spacing w:before="120"/>
              <w:rPr>
                <w:rFonts w:cstheme="minorHAnsi"/>
              </w:rPr>
            </w:pPr>
            <w:r w:rsidRPr="003F6487">
              <w:rPr>
                <w:rFonts w:cstheme="minorHAnsi"/>
              </w:rPr>
              <w:t xml:space="preserve">The SREBA Framework and the Scope of Works for each SREBA domain established a requirement for each baseline study to report on suitable indicators and methods for regional monitoring relevant to that domain. </w:t>
            </w:r>
          </w:p>
          <w:p w14:paraId="34A59042" w14:textId="28E0F22F" w:rsidR="003F6487" w:rsidRPr="003F6487" w:rsidRDefault="003F6487" w:rsidP="00F90BAA">
            <w:pPr>
              <w:spacing w:before="120"/>
              <w:rPr>
                <w:rFonts w:cstheme="minorHAnsi"/>
              </w:rPr>
            </w:pPr>
            <w:r w:rsidRPr="003F6487">
              <w:rPr>
                <w:rFonts w:cstheme="minorHAnsi"/>
              </w:rPr>
              <w:t>The SREBA makes several recommendations for continued regional methane monitoring</w:t>
            </w:r>
            <w:r w:rsidR="00F63B78">
              <w:rPr>
                <w:rFonts w:cstheme="minorHAnsi"/>
              </w:rPr>
              <w:t xml:space="preserve"> </w:t>
            </w:r>
            <w:r w:rsidR="00F63B78" w:rsidRPr="427EBC34">
              <w:t>(</w:t>
            </w:r>
            <w:r w:rsidR="00F63B78">
              <w:t xml:space="preserve">see </w:t>
            </w:r>
            <w:r w:rsidR="00F63B78" w:rsidRPr="427EBC34">
              <w:t>Beetaloo SREBA Regional Report</w:t>
            </w:r>
            <w:r w:rsidR="00F63B78">
              <w:t>, p. 218</w:t>
            </w:r>
            <w:r w:rsidR="00F63B78" w:rsidRPr="427EBC34">
              <w:t>)</w:t>
            </w:r>
            <w:r w:rsidRPr="003F6487">
              <w:rPr>
                <w:rFonts w:cstheme="minorHAnsi"/>
              </w:rPr>
              <w:t xml:space="preserve">, </w:t>
            </w:r>
            <w:r w:rsidR="00C142F6">
              <w:rPr>
                <w:rFonts w:cstheme="minorHAnsi"/>
              </w:rPr>
              <w:t>including</w:t>
            </w:r>
            <w:r w:rsidRPr="003F6487">
              <w:rPr>
                <w:rFonts w:cstheme="minorHAnsi"/>
              </w:rPr>
              <w:t xml:space="preserve"> that:</w:t>
            </w:r>
          </w:p>
          <w:p w14:paraId="4E9C04AC" w14:textId="590FC874" w:rsidR="003F6487" w:rsidRPr="00DB2433" w:rsidRDefault="00FA1D39" w:rsidP="00F90BAA">
            <w:pPr>
              <w:pStyle w:val="ListParagraph"/>
              <w:numPr>
                <w:ilvl w:val="0"/>
                <w:numId w:val="113"/>
              </w:numPr>
              <w:spacing w:before="120"/>
            </w:pPr>
            <w:r>
              <w:t>“</w:t>
            </w:r>
            <w:r w:rsidR="003F6487" w:rsidRPr="730F5253">
              <w:t xml:space="preserve">Monitoring programs/campaigns </w:t>
            </w:r>
            <w:r>
              <w:t>[</w:t>
            </w:r>
            <w:r w:rsidR="003F6487" w:rsidRPr="730F5253">
              <w:t>are</w:t>
            </w:r>
            <w:r>
              <w:t>]</w:t>
            </w:r>
            <w:r w:rsidR="003F6487" w:rsidRPr="730F5253">
              <w:t xml:space="preserve"> recommended to occur every 2 to 3 years.</w:t>
            </w:r>
            <w:r>
              <w:t>”</w:t>
            </w:r>
          </w:p>
          <w:p w14:paraId="76DDD9B1" w14:textId="7E1574C8" w:rsidR="003F6487" w:rsidRPr="00520C23" w:rsidRDefault="00D75948" w:rsidP="00F90BAA">
            <w:pPr>
              <w:pStyle w:val="ListParagraph"/>
              <w:numPr>
                <w:ilvl w:val="0"/>
                <w:numId w:val="113"/>
              </w:numPr>
              <w:spacing w:before="120"/>
            </w:pPr>
            <w:r>
              <w:t>“</w:t>
            </w:r>
            <w:r w:rsidR="003F6487" w:rsidRPr="427EBC34">
              <w:t>When gas wells are operational, the use of regular (yearly or 6 monthly) local-scale mobile surveys specifically to locate sources at wells may be beneficial</w:t>
            </w:r>
            <w:r w:rsidR="00FA1D39">
              <w:t>.”</w:t>
            </w:r>
            <w:r w:rsidR="003F6487" w:rsidRPr="427EBC34">
              <w:t xml:space="preserve"> </w:t>
            </w:r>
          </w:p>
        </w:tc>
        <w:tc>
          <w:tcPr>
            <w:tcW w:w="5310" w:type="dxa"/>
            <w:shd w:val="clear" w:color="auto" w:fill="E2EFD9" w:themeFill="accent6" w:themeFillTint="33"/>
          </w:tcPr>
          <w:p w14:paraId="38D7FF5F" w14:textId="52B4ED45" w:rsidR="00472715" w:rsidRDefault="00472715" w:rsidP="00472715">
            <w:pPr>
              <w:spacing w:before="120"/>
              <w:rPr>
                <w:rFonts w:cstheme="minorHAnsi"/>
              </w:rPr>
            </w:pPr>
            <w:r w:rsidRPr="00520C23">
              <w:rPr>
                <w:rFonts w:cstheme="minorHAnsi"/>
              </w:rPr>
              <w:lastRenderedPageBreak/>
              <w:t>The Code adequately addresse</w:t>
            </w:r>
            <w:r w:rsidR="00C73F5B">
              <w:rPr>
                <w:rFonts w:cstheme="minorHAnsi"/>
              </w:rPr>
              <w:t>s</w:t>
            </w:r>
            <w:r w:rsidRPr="00520C23">
              <w:rPr>
                <w:rFonts w:cstheme="minorHAnsi"/>
              </w:rPr>
              <w:t xml:space="preserve"> recommendation 9.4</w:t>
            </w:r>
            <w:r w:rsidR="00C73F5B">
              <w:rPr>
                <w:rFonts w:cstheme="minorHAnsi"/>
              </w:rPr>
              <w:t>, assuming that the regional monitoring program in the SREBA will be funded by industry.</w:t>
            </w:r>
          </w:p>
          <w:p w14:paraId="69F2CBC3" w14:textId="77777777" w:rsidR="000E3F8F" w:rsidRPr="008923D9" w:rsidRDefault="000E3F8F" w:rsidP="00F90BAA">
            <w:pPr>
              <w:pStyle w:val="ListParagraph"/>
              <w:spacing w:before="120"/>
              <w:ind w:left="360"/>
              <w:rPr>
                <w:rFonts w:cstheme="minorHAnsi"/>
              </w:rPr>
            </w:pPr>
          </w:p>
          <w:p w14:paraId="37F55BBB" w14:textId="4356149C" w:rsidR="008923D9" w:rsidRPr="00520C23" w:rsidRDefault="008923D9" w:rsidP="00C77924">
            <w:pPr>
              <w:pStyle w:val="ListParagraph"/>
              <w:spacing w:before="120"/>
              <w:ind w:left="360"/>
              <w:rPr>
                <w:rFonts w:cstheme="minorHAnsi"/>
              </w:rPr>
            </w:pPr>
          </w:p>
        </w:tc>
      </w:tr>
      <w:tr w:rsidR="00EA3C33" w:rsidRPr="00520C23" w14:paraId="78FE4288" w14:textId="59527073" w:rsidTr="00EA3C33">
        <w:trPr>
          <w:trHeight w:val="782"/>
        </w:trPr>
        <w:tc>
          <w:tcPr>
            <w:tcW w:w="846" w:type="dxa"/>
            <w:shd w:val="clear" w:color="auto" w:fill="auto"/>
          </w:tcPr>
          <w:p w14:paraId="4AB7323F" w14:textId="1ADBDC57" w:rsidR="00472715" w:rsidRPr="00520C23" w:rsidRDefault="00472715" w:rsidP="00472715">
            <w:pPr>
              <w:spacing w:before="120"/>
              <w:jc w:val="center"/>
              <w:rPr>
                <w:rFonts w:cstheme="minorHAnsi"/>
              </w:rPr>
            </w:pPr>
            <w:r w:rsidRPr="00520C23">
              <w:rPr>
                <w:rFonts w:cstheme="minorHAnsi"/>
              </w:rPr>
              <w:t xml:space="preserve">9.5 </w:t>
            </w:r>
          </w:p>
        </w:tc>
        <w:tc>
          <w:tcPr>
            <w:tcW w:w="4819" w:type="dxa"/>
            <w:shd w:val="clear" w:color="auto" w:fill="auto"/>
          </w:tcPr>
          <w:p w14:paraId="073A9C06" w14:textId="5D7B0E3A" w:rsidR="00472715" w:rsidRPr="00520C23" w:rsidRDefault="00472715" w:rsidP="00472715">
            <w:pPr>
              <w:spacing w:before="120"/>
              <w:rPr>
                <w:rFonts w:cstheme="minorHAnsi"/>
                <w:i/>
                <w:iCs/>
              </w:rPr>
            </w:pPr>
            <w:r w:rsidRPr="00520C23">
              <w:rPr>
                <w:rFonts w:cstheme="minorHAnsi"/>
                <w:i/>
                <w:iCs/>
              </w:rPr>
              <w:t xml:space="preserve">That all monitoring results must be made publicly available online on a continuous basis in real time. </w:t>
            </w:r>
          </w:p>
          <w:p w14:paraId="62A1EC97" w14:textId="53314E4B" w:rsidR="00472715" w:rsidRPr="00520C23" w:rsidRDefault="00472715" w:rsidP="00472715">
            <w:pPr>
              <w:spacing w:before="120"/>
              <w:rPr>
                <w:rFonts w:cstheme="minorHAnsi"/>
                <w:i/>
                <w:iCs/>
              </w:rPr>
            </w:pPr>
          </w:p>
        </w:tc>
        <w:tc>
          <w:tcPr>
            <w:tcW w:w="5760" w:type="dxa"/>
            <w:shd w:val="clear" w:color="auto" w:fill="auto"/>
          </w:tcPr>
          <w:p w14:paraId="5F035D1E" w14:textId="03A5AAE2"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57">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w:t>
            </w:r>
          </w:p>
          <w:p w14:paraId="7F706B99" w14:textId="4D600ABF"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The government has commenced work on an online portal to enable timely public reporting.</w:t>
            </w:r>
          </w:p>
          <w:p w14:paraId="7986DA9F" w14:textId="2F35DFB8" w:rsidR="00472715" w:rsidRPr="00520C23" w:rsidRDefault="00472715" w:rsidP="00472715">
            <w:pPr>
              <w:spacing w:before="120"/>
            </w:pPr>
            <w:r w:rsidRPr="00520C23">
              <w:rPr>
                <w:rFonts w:ascii="Calibri" w:eastAsia="Calibri" w:hAnsi="Calibri" w:cs="Calibri"/>
                <w:color w:val="313131"/>
              </w:rPr>
              <w:t>It contains requirements for baseline and ongoing methane monitoring.</w:t>
            </w:r>
          </w:p>
          <w:p w14:paraId="639AD610" w14:textId="62CB80D6" w:rsidR="00472715" w:rsidRPr="00520C23" w:rsidRDefault="00472715" w:rsidP="00472715">
            <w:pPr>
              <w:spacing w:before="120"/>
              <w:rPr>
                <w:b/>
                <w:bCs/>
              </w:rPr>
            </w:pPr>
          </w:p>
        </w:tc>
        <w:tc>
          <w:tcPr>
            <w:tcW w:w="5670" w:type="dxa"/>
            <w:shd w:val="clear" w:color="auto" w:fill="auto"/>
          </w:tcPr>
          <w:p w14:paraId="39691237" w14:textId="08028451" w:rsidR="00472715" w:rsidRPr="00520C23" w:rsidRDefault="00472715" w:rsidP="00472715">
            <w:pPr>
              <w:spacing w:before="120"/>
              <w:rPr>
                <w:rFonts w:cstheme="minorHAnsi"/>
                <w:b/>
              </w:rPr>
            </w:pPr>
            <w:r w:rsidRPr="00520C23">
              <w:rPr>
                <w:rFonts w:cstheme="minorHAnsi"/>
                <w:b/>
              </w:rPr>
              <w:t>Code of Practice</w:t>
            </w:r>
          </w:p>
          <w:p w14:paraId="37F509A9" w14:textId="3BF83EF7" w:rsidR="00472715" w:rsidRPr="00520C23" w:rsidRDefault="00472715" w:rsidP="00472715">
            <w:pPr>
              <w:spacing w:before="120"/>
              <w:rPr>
                <w:rFonts w:cstheme="minorHAnsi"/>
                <w:u w:val="single"/>
              </w:rPr>
            </w:pPr>
            <w:r w:rsidRPr="00520C23">
              <w:rPr>
                <w:rFonts w:cstheme="minorHAnsi"/>
                <w:u w:val="single"/>
              </w:rPr>
              <w:t>D.1 Overview</w:t>
            </w:r>
          </w:p>
          <w:p w14:paraId="451BB396" w14:textId="24F6DD65" w:rsidR="00472715" w:rsidRPr="00520C23" w:rsidRDefault="00472715" w:rsidP="00472715">
            <w:pPr>
              <w:spacing w:before="120"/>
              <w:rPr>
                <w:rFonts w:cstheme="minorHAnsi"/>
                <w:i/>
                <w:iCs/>
              </w:rPr>
            </w:pPr>
            <w:r w:rsidRPr="00520C23">
              <w:rPr>
                <w:rFonts w:cstheme="minorHAnsi"/>
                <w:i/>
                <w:iCs/>
              </w:rPr>
              <w:t>The purpose of this Code is to ensure that … (d) greenhouse gas emissions from industry are minimised, and adequately quantified and reported to the Northern Territory Government for subsequent open publication.</w:t>
            </w:r>
          </w:p>
          <w:p w14:paraId="2D983679" w14:textId="77777777" w:rsidR="00472715" w:rsidRPr="00520C23" w:rsidRDefault="00472715" w:rsidP="00472715">
            <w:pPr>
              <w:spacing w:before="120"/>
              <w:rPr>
                <w:rFonts w:cstheme="minorHAnsi"/>
              </w:rPr>
            </w:pPr>
          </w:p>
          <w:p w14:paraId="1AC95010" w14:textId="79EACBBC" w:rsidR="00472715" w:rsidRPr="00520C23" w:rsidRDefault="00472715" w:rsidP="00472715">
            <w:pPr>
              <w:spacing w:before="120"/>
              <w:rPr>
                <w:rFonts w:cstheme="minorHAnsi"/>
                <w:u w:val="single"/>
              </w:rPr>
            </w:pPr>
            <w:r w:rsidRPr="00520C23">
              <w:rPr>
                <w:rFonts w:cstheme="minorHAnsi"/>
                <w:u w:val="single"/>
              </w:rPr>
              <w:t xml:space="preserve">D.4.2 Regional Methane Assessment Programme (RMAP) </w:t>
            </w:r>
          </w:p>
          <w:p w14:paraId="13EACDB2" w14:textId="1D35E73E" w:rsidR="00472715" w:rsidRPr="00520C23" w:rsidRDefault="00472715" w:rsidP="00472715">
            <w:pPr>
              <w:spacing w:before="120"/>
              <w:rPr>
                <w:rFonts w:cstheme="minorHAnsi"/>
                <w:u w:val="single"/>
              </w:rPr>
            </w:pPr>
            <w:r w:rsidRPr="00520C23">
              <w:rPr>
                <w:rFonts w:cstheme="minorHAnsi"/>
                <w:u w:val="single"/>
              </w:rPr>
              <w:t>D.4.2.3 Preferred requirements</w:t>
            </w:r>
          </w:p>
          <w:p w14:paraId="789B672C" w14:textId="77777777" w:rsidR="00472715" w:rsidRPr="00520C23" w:rsidRDefault="00472715" w:rsidP="00472715">
            <w:pPr>
              <w:spacing w:before="120"/>
              <w:rPr>
                <w:rFonts w:cstheme="minorHAnsi"/>
                <w:i/>
                <w:iCs/>
              </w:rPr>
            </w:pPr>
            <w:r w:rsidRPr="00520C23">
              <w:rPr>
                <w:rFonts w:cstheme="minorHAnsi"/>
                <w:i/>
                <w:iCs/>
              </w:rPr>
              <w:t>(b) If fixed monitoring stations are used as part of ongoing monitoring programmes, data should be made continuously available to the public.</w:t>
            </w:r>
          </w:p>
          <w:p w14:paraId="184916BF" w14:textId="1E55B191" w:rsidR="00472715" w:rsidRPr="00520C23" w:rsidRDefault="00472715" w:rsidP="00472715">
            <w:pPr>
              <w:spacing w:before="120"/>
              <w:rPr>
                <w:rFonts w:cstheme="minorHAnsi"/>
              </w:rPr>
            </w:pPr>
          </w:p>
          <w:p w14:paraId="5889B72E" w14:textId="0545FE0B" w:rsidR="00472715" w:rsidRPr="00520C23" w:rsidRDefault="00472715" w:rsidP="00472715">
            <w:pPr>
              <w:spacing w:before="120"/>
              <w:rPr>
                <w:rFonts w:cstheme="minorHAnsi"/>
                <w:u w:val="single"/>
              </w:rPr>
            </w:pPr>
            <w:r w:rsidRPr="00520C23">
              <w:rPr>
                <w:rFonts w:cstheme="minorHAnsi"/>
                <w:u w:val="single"/>
              </w:rPr>
              <w:t>D.4.3 Routine periodic atmospheric monitoring programme</w:t>
            </w:r>
          </w:p>
          <w:p w14:paraId="692FA5B0" w14:textId="1A0969FA" w:rsidR="00472715" w:rsidRPr="00520C23" w:rsidRDefault="00472715" w:rsidP="00472715">
            <w:pPr>
              <w:spacing w:before="120"/>
              <w:rPr>
                <w:rFonts w:cstheme="minorHAnsi"/>
                <w:u w:val="single"/>
              </w:rPr>
            </w:pPr>
            <w:r w:rsidRPr="00520C23">
              <w:rPr>
                <w:rFonts w:cstheme="minorHAnsi"/>
                <w:u w:val="single"/>
              </w:rPr>
              <w:t>D.4.3.2 Mandatory requirements</w:t>
            </w:r>
          </w:p>
          <w:p w14:paraId="404E8440" w14:textId="0B18EC60" w:rsidR="00472715" w:rsidRPr="00520C23" w:rsidRDefault="00472715" w:rsidP="00472715">
            <w:pPr>
              <w:spacing w:before="120"/>
              <w:rPr>
                <w:rFonts w:cstheme="minorHAnsi"/>
                <w:i/>
                <w:iCs/>
              </w:rPr>
            </w:pPr>
            <w:r w:rsidRPr="00520C23">
              <w:rPr>
                <w:rFonts w:cstheme="minorHAnsi"/>
                <w:i/>
                <w:iCs/>
              </w:rPr>
              <w:lastRenderedPageBreak/>
              <w:t>(e) The results from the stations must be made available to the public through the Northern Territory Government provided portal in the requested format.</w:t>
            </w:r>
          </w:p>
          <w:p w14:paraId="0ECB9FA1" w14:textId="77777777" w:rsidR="00472715" w:rsidRPr="00520C23" w:rsidRDefault="00472715" w:rsidP="00472715">
            <w:pPr>
              <w:rPr>
                <w:rFonts w:cstheme="minorHAnsi"/>
              </w:rPr>
            </w:pPr>
          </w:p>
          <w:p w14:paraId="20B761EB" w14:textId="1817B728" w:rsidR="00472715" w:rsidRPr="00520C23" w:rsidRDefault="00472715" w:rsidP="00472715">
            <w:pPr>
              <w:rPr>
                <w:rFonts w:cstheme="minorHAnsi"/>
              </w:rPr>
            </w:pPr>
            <w:r w:rsidRPr="00520C23">
              <w:rPr>
                <w:rFonts w:cstheme="minorHAnsi"/>
                <w:iCs/>
              </w:rPr>
              <w:t>The</w:t>
            </w:r>
            <w:r w:rsidRPr="00520C23">
              <w:rPr>
                <w:rFonts w:cstheme="minorHAnsi"/>
              </w:rPr>
              <w:t xml:space="preserve"> NT Government’s implementation website says: “</w:t>
            </w:r>
            <w:r w:rsidRPr="00520C23">
              <w:rPr>
                <w:rFonts w:cstheme="minorHAnsi"/>
                <w:i/>
                <w:iCs/>
              </w:rPr>
              <w:t>The government has commenced work on an online portal to enable timely public reporting.”</w:t>
            </w:r>
            <w:r w:rsidRPr="00520C23">
              <w:rPr>
                <w:rFonts w:cstheme="minorHAnsi"/>
              </w:rPr>
              <w:t xml:space="preserve"> </w:t>
            </w:r>
          </w:p>
          <w:p w14:paraId="071451DA" w14:textId="77777777" w:rsidR="00472715" w:rsidRDefault="00472715" w:rsidP="00472715">
            <w:pPr>
              <w:rPr>
                <w:rFonts w:cstheme="minorHAnsi"/>
              </w:rPr>
            </w:pPr>
          </w:p>
          <w:p w14:paraId="4FBA5EDE" w14:textId="6E55C086" w:rsidR="00841C8C" w:rsidRPr="00F90BAA" w:rsidRDefault="00841C8C" w:rsidP="00472715">
            <w:pPr>
              <w:rPr>
                <w:rFonts w:cstheme="minorHAnsi"/>
                <w:b/>
                <w:bCs/>
              </w:rPr>
            </w:pPr>
            <w:r w:rsidRPr="00F90BAA">
              <w:rPr>
                <w:rFonts w:cstheme="minorHAnsi"/>
                <w:b/>
                <w:bCs/>
              </w:rPr>
              <w:t>SREBA</w:t>
            </w:r>
          </w:p>
          <w:p w14:paraId="0670B0CE" w14:textId="77777777" w:rsidR="00841C8C" w:rsidRPr="00841C8C" w:rsidRDefault="00841C8C" w:rsidP="00F90BAA">
            <w:pPr>
              <w:spacing w:before="120"/>
              <w:rPr>
                <w:rFonts w:cstheme="minorHAnsi"/>
              </w:rPr>
            </w:pPr>
            <w:r w:rsidRPr="00841C8C">
              <w:rPr>
                <w:rFonts w:cstheme="minorHAnsi"/>
              </w:rPr>
              <w:t>The SREBA Methane and Greenhouse Gas Summary Baseline Reports are accessible on the SREBA Data Catalogue portal and were uploaded to the site upon the completion of the reports in December 2022.</w:t>
            </w:r>
          </w:p>
          <w:p w14:paraId="2FB545DA" w14:textId="5C035658" w:rsidR="00841C8C" w:rsidRPr="00520C23" w:rsidRDefault="00841C8C" w:rsidP="00472715">
            <w:pPr>
              <w:rPr>
                <w:rFonts w:cstheme="minorHAnsi"/>
              </w:rPr>
            </w:pPr>
          </w:p>
        </w:tc>
        <w:tc>
          <w:tcPr>
            <w:tcW w:w="5310" w:type="dxa"/>
            <w:shd w:val="clear" w:color="auto" w:fill="FED6D6"/>
          </w:tcPr>
          <w:p w14:paraId="5BBA9B27" w14:textId="7D609896" w:rsidR="00472715" w:rsidRPr="00520C23" w:rsidRDefault="00472715" w:rsidP="00472715">
            <w:pPr>
              <w:spacing w:before="120"/>
              <w:rPr>
                <w:rFonts w:cstheme="minorHAnsi"/>
              </w:rPr>
            </w:pPr>
            <w:r w:rsidRPr="00520C23">
              <w:rPr>
                <w:rFonts w:cstheme="minorHAnsi"/>
              </w:rPr>
              <w:lastRenderedPageBreak/>
              <w:t xml:space="preserve">The Code does not adequately address recommendation 9.5. </w:t>
            </w:r>
          </w:p>
          <w:p w14:paraId="1EA939F0" w14:textId="1AA591E5" w:rsidR="00472715" w:rsidRPr="00520C23" w:rsidRDefault="00472715" w:rsidP="00472715">
            <w:pPr>
              <w:spacing w:before="120"/>
              <w:rPr>
                <w:rFonts w:cstheme="minorHAnsi"/>
                <w:i/>
                <w:iCs/>
                <w:u w:val="single"/>
              </w:rPr>
            </w:pPr>
            <w:r w:rsidRPr="00520C23">
              <w:rPr>
                <w:rFonts w:cstheme="minorHAnsi"/>
                <w:i/>
                <w:iCs/>
                <w:u w:val="single"/>
              </w:rPr>
              <w:t>Comments</w:t>
            </w:r>
          </w:p>
          <w:p w14:paraId="3947A752" w14:textId="2700B42E" w:rsidR="00472715" w:rsidRPr="00520C23" w:rsidRDefault="00472715" w:rsidP="00472715">
            <w:pPr>
              <w:pStyle w:val="ListParagraph"/>
              <w:numPr>
                <w:ilvl w:val="0"/>
                <w:numId w:val="8"/>
              </w:numPr>
              <w:spacing w:before="120"/>
              <w:rPr>
                <w:rFonts w:cstheme="minorHAnsi"/>
              </w:rPr>
            </w:pPr>
            <w:r w:rsidRPr="00520C23">
              <w:rPr>
                <w:rFonts w:cstheme="minorHAnsi"/>
              </w:rPr>
              <w:t>In relation to routine periodic monitoring, D4.3.2(e) of the Code requires results to be made publicly available, although it does not explicitly require the results to be made available online “</w:t>
            </w:r>
            <w:r w:rsidRPr="00520C23">
              <w:rPr>
                <w:rFonts w:cstheme="minorHAnsi"/>
                <w:i/>
                <w:iCs/>
              </w:rPr>
              <w:t>on a continuous basis in real time</w:t>
            </w:r>
            <w:r w:rsidR="00BF5023">
              <w:rPr>
                <w:rFonts w:cstheme="minorHAnsi"/>
              </w:rPr>
              <w:t>,</w:t>
            </w:r>
            <w:r w:rsidRPr="00520C23">
              <w:rPr>
                <w:rFonts w:cstheme="minorHAnsi"/>
              </w:rPr>
              <w:t xml:space="preserve">” as required by the recommendation. </w:t>
            </w:r>
          </w:p>
          <w:p w14:paraId="03ED7AAF" w14:textId="65EF342A" w:rsidR="00472715" w:rsidRPr="00520C23" w:rsidRDefault="00472715" w:rsidP="00472715">
            <w:pPr>
              <w:pStyle w:val="ListParagraph"/>
              <w:numPr>
                <w:ilvl w:val="0"/>
                <w:numId w:val="8"/>
              </w:numPr>
              <w:spacing w:before="120"/>
              <w:rPr>
                <w:rFonts w:cstheme="minorHAnsi"/>
              </w:rPr>
            </w:pPr>
            <w:r w:rsidRPr="00520C23">
              <w:rPr>
                <w:rFonts w:cstheme="minorHAnsi"/>
              </w:rPr>
              <w:t xml:space="preserve">In relation to the regional methane assessment programme, publication of data from fixed monitoring stations is only a “preferred” requirement (see D.4.2.3). This seems insufficient to address the recommendation that all monitoring results be made publicly available. </w:t>
            </w:r>
          </w:p>
          <w:p w14:paraId="7CB61B3B" w14:textId="0A71F4BD" w:rsidR="00472715" w:rsidRPr="00520C23" w:rsidRDefault="00472715" w:rsidP="00472715">
            <w:pPr>
              <w:pStyle w:val="ListParagraph"/>
              <w:numPr>
                <w:ilvl w:val="0"/>
                <w:numId w:val="8"/>
              </w:numPr>
              <w:spacing w:before="120"/>
              <w:rPr>
                <w:rFonts w:cstheme="minorHAnsi"/>
              </w:rPr>
            </w:pPr>
            <w:r w:rsidRPr="00520C23">
              <w:rPr>
                <w:rFonts w:cstheme="minorHAnsi"/>
              </w:rPr>
              <w:t xml:space="preserve">Note also that, as mentioned above in relation to recommendation 9.3, there does not appear to be a </w:t>
            </w:r>
            <w:r w:rsidRPr="00520C23">
              <w:rPr>
                <w:rFonts w:cstheme="minorHAnsi"/>
              </w:rPr>
              <w:lastRenderedPageBreak/>
              <w:t xml:space="preserve">requirement that baseline monitoring be made publicly available (see D.4.1). </w:t>
            </w:r>
          </w:p>
          <w:p w14:paraId="19912EDC" w14:textId="77777777" w:rsidR="00472715" w:rsidRDefault="00472715" w:rsidP="00472715">
            <w:pPr>
              <w:pStyle w:val="ListParagraph"/>
              <w:numPr>
                <w:ilvl w:val="0"/>
                <w:numId w:val="8"/>
              </w:numPr>
              <w:spacing w:before="120"/>
              <w:rPr>
                <w:rFonts w:cstheme="minorHAnsi"/>
              </w:rPr>
            </w:pPr>
            <w:r w:rsidRPr="00520C23">
              <w:rPr>
                <w:rFonts w:cstheme="minorHAnsi"/>
              </w:rPr>
              <w:t xml:space="preserve">The government claims it has started work on an online portal to enable public reporting, but drilling should not be allowed until this is ready and populated with data from the baseline assessment required by recommendation 9.3, as well as the results of ongoing monitoring by companies already undertaking exploration. </w:t>
            </w:r>
          </w:p>
          <w:p w14:paraId="433585D1" w14:textId="021D3484" w:rsidR="004921AE" w:rsidRPr="00520C23" w:rsidRDefault="00595902" w:rsidP="00C66F7F">
            <w:pPr>
              <w:pStyle w:val="ListParagraph"/>
              <w:numPr>
                <w:ilvl w:val="0"/>
                <w:numId w:val="8"/>
              </w:numPr>
              <w:spacing w:before="120"/>
            </w:pPr>
            <w:r w:rsidRPr="00595902">
              <w:rPr>
                <w:rFonts w:cstheme="minorHAnsi"/>
              </w:rPr>
              <w:t xml:space="preserve">The SREBA Methane and Greenhouse Gas Summary Baseline Reports </w:t>
            </w:r>
            <w:r w:rsidR="00154CEE">
              <w:rPr>
                <w:rFonts w:cstheme="minorHAnsi"/>
              </w:rPr>
              <w:t xml:space="preserve">claim to </w:t>
            </w:r>
            <w:r w:rsidRPr="00595902">
              <w:rPr>
                <w:rFonts w:cstheme="minorHAnsi"/>
              </w:rPr>
              <w:t xml:space="preserve">meet the guidelines of the SREBA Framework to establish a regional baseline for methane concentrations and fluxes, and to identify (where possible) the source of </w:t>
            </w:r>
            <w:r w:rsidR="00775295">
              <w:rPr>
                <w:rFonts w:cstheme="minorHAnsi"/>
              </w:rPr>
              <w:t>“</w:t>
            </w:r>
            <w:r w:rsidRPr="00595902">
              <w:rPr>
                <w:rFonts w:cstheme="minorHAnsi"/>
              </w:rPr>
              <w:t>substantially higher emission than the regional average.</w:t>
            </w:r>
            <w:r w:rsidR="00775295">
              <w:rPr>
                <w:rFonts w:cstheme="minorHAnsi"/>
              </w:rPr>
              <w:t>”</w:t>
            </w:r>
            <w:r w:rsidRPr="00595902">
              <w:rPr>
                <w:rFonts w:cstheme="minorHAnsi"/>
              </w:rPr>
              <w:t xml:space="preserve"> </w:t>
            </w:r>
            <w:r w:rsidRPr="00C66F7F">
              <w:rPr>
                <w:rFonts w:cstheme="minorHAnsi"/>
              </w:rPr>
              <w:t xml:space="preserve">However, it is noted that at the single site visited during the </w:t>
            </w:r>
            <w:r w:rsidR="00832472" w:rsidRPr="00C66F7F">
              <w:rPr>
                <w:rFonts w:cstheme="minorHAnsi"/>
              </w:rPr>
              <w:t xml:space="preserve">SREBA </w:t>
            </w:r>
            <w:r w:rsidRPr="00C66F7F">
              <w:rPr>
                <w:rFonts w:cstheme="minorHAnsi"/>
              </w:rPr>
              <w:t xml:space="preserve">methane survey that had closed hydraulic fracturing wells, elevated methane and ethane were detected, </w:t>
            </w:r>
            <w:r w:rsidR="00832472" w:rsidRPr="00C66F7F">
              <w:rPr>
                <w:rFonts w:cstheme="minorHAnsi"/>
              </w:rPr>
              <w:t>but</w:t>
            </w:r>
            <w:r w:rsidRPr="00C66F7F">
              <w:rPr>
                <w:rFonts w:cstheme="minorHAnsi"/>
              </w:rPr>
              <w:t xml:space="preserve"> the sources of these anomalies (from the wells or cattle, or other sources) w</w:t>
            </w:r>
            <w:r w:rsidR="00937EAE" w:rsidRPr="00C66F7F">
              <w:rPr>
                <w:rFonts w:cstheme="minorHAnsi"/>
              </w:rPr>
              <w:t>ere</w:t>
            </w:r>
            <w:r w:rsidRPr="00C66F7F">
              <w:rPr>
                <w:rFonts w:cstheme="minorHAnsi"/>
              </w:rPr>
              <w:t xml:space="preserve"> not </w:t>
            </w:r>
            <w:r w:rsidR="00960839">
              <w:rPr>
                <w:rFonts w:cstheme="minorHAnsi"/>
              </w:rPr>
              <w:t>identified</w:t>
            </w:r>
            <w:r w:rsidRPr="00C66F7F">
              <w:rPr>
                <w:rFonts w:cstheme="minorHAnsi"/>
              </w:rPr>
              <w:t>.</w:t>
            </w:r>
            <w:r w:rsidR="00C66F7F">
              <w:rPr>
                <w:rFonts w:cstheme="minorHAnsi"/>
              </w:rPr>
              <w:t xml:space="preserve"> </w:t>
            </w:r>
            <w:r w:rsidR="004921AE" w:rsidRPr="427EBC34">
              <w:t>It is</w:t>
            </w:r>
            <w:r w:rsidR="00C66F7F">
              <w:t xml:space="preserve"> also</w:t>
            </w:r>
            <w:r w:rsidR="004921AE" w:rsidRPr="427EBC34">
              <w:t xml:space="preserve"> unclear if project-specific methane monitoring will be easily comparable to the SREBA baseline data via the </w:t>
            </w:r>
            <w:r w:rsidR="4F73E722" w:rsidRPr="427EBC34">
              <w:t>SREBA Data Catalogue or other rel</w:t>
            </w:r>
            <w:r w:rsidR="000113D9">
              <w:t>ated</w:t>
            </w:r>
            <w:r w:rsidR="4F73E722" w:rsidRPr="427EBC34">
              <w:t xml:space="preserve"> online data system</w:t>
            </w:r>
            <w:r w:rsidR="008D7DC1">
              <w:t>s</w:t>
            </w:r>
            <w:r w:rsidR="004921AE" w:rsidRPr="427EBC34">
              <w:t>.</w:t>
            </w:r>
          </w:p>
        </w:tc>
      </w:tr>
      <w:tr w:rsidR="00EA3C33" w:rsidRPr="00520C23" w14:paraId="37E05BB1" w14:textId="77777777" w:rsidTr="00EA3C33">
        <w:tc>
          <w:tcPr>
            <w:tcW w:w="846" w:type="dxa"/>
            <w:shd w:val="clear" w:color="auto" w:fill="auto"/>
          </w:tcPr>
          <w:p w14:paraId="7602F99C" w14:textId="3D7A60AF" w:rsidR="00472715" w:rsidRPr="00520C23" w:rsidRDefault="00472715" w:rsidP="00472715">
            <w:pPr>
              <w:spacing w:before="120"/>
              <w:jc w:val="center"/>
              <w:rPr>
                <w:rFonts w:cstheme="minorHAnsi"/>
              </w:rPr>
            </w:pPr>
            <w:r w:rsidRPr="00520C23">
              <w:rPr>
                <w:rFonts w:cstheme="minorHAnsi"/>
              </w:rPr>
              <w:lastRenderedPageBreak/>
              <w:t>9.6</w:t>
            </w:r>
          </w:p>
        </w:tc>
        <w:tc>
          <w:tcPr>
            <w:tcW w:w="4819" w:type="dxa"/>
            <w:shd w:val="clear" w:color="auto" w:fill="auto"/>
          </w:tcPr>
          <w:p w14:paraId="4FCB0F03" w14:textId="228DDFE7" w:rsidR="00472715" w:rsidRPr="00520C23" w:rsidRDefault="00472715" w:rsidP="00472715">
            <w:pPr>
              <w:spacing w:before="120"/>
              <w:rPr>
                <w:rFonts w:cstheme="minorHAnsi"/>
                <w:i/>
                <w:iCs/>
              </w:rPr>
            </w:pPr>
            <w:r w:rsidRPr="00520C23">
              <w:rPr>
                <w:rFonts w:cstheme="minorHAnsi"/>
                <w:i/>
                <w:iCs/>
              </w:rPr>
              <w:t>That once methane emission concentration limits are exceeded, as soon as reasonably practicable the regulator must be notified, an investigation must be undertaken by the gas company to identify the source or sources of the emissions, and make-good provisions be carried out by the gas industry.</w:t>
            </w:r>
          </w:p>
          <w:p w14:paraId="6669B541" w14:textId="39E636A4" w:rsidR="00472715" w:rsidRPr="00520C23" w:rsidRDefault="00472715" w:rsidP="00472715">
            <w:pPr>
              <w:spacing w:before="120"/>
              <w:rPr>
                <w:rFonts w:cstheme="minorHAnsi"/>
                <w:i/>
                <w:iCs/>
              </w:rPr>
            </w:pPr>
          </w:p>
        </w:tc>
        <w:tc>
          <w:tcPr>
            <w:tcW w:w="5760" w:type="dxa"/>
            <w:shd w:val="clear" w:color="auto" w:fill="auto"/>
          </w:tcPr>
          <w:p w14:paraId="1D70E9CF" w14:textId="051DCA5A" w:rsidR="00472715" w:rsidRPr="00520C23" w:rsidRDefault="00472715" w:rsidP="00472715">
            <w:pPr>
              <w:spacing w:before="120"/>
            </w:pPr>
            <w:r w:rsidRPr="00520C23">
              <w:rPr>
                <w:rFonts w:ascii="Calibri" w:eastAsia="Calibri" w:hAnsi="Calibri" w:cs="Calibri"/>
                <w:color w:val="313131"/>
              </w:rPr>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58">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w:t>
            </w:r>
          </w:p>
          <w:p w14:paraId="6558FBB0" w14:textId="49DC1029" w:rsidR="00472715" w:rsidRPr="00520C23" w:rsidRDefault="00472715" w:rsidP="00472715">
            <w:pPr>
              <w:spacing w:before="120"/>
              <w:rPr>
                <w:rFonts w:ascii="Calibri" w:eastAsia="Calibri" w:hAnsi="Calibri" w:cs="Calibri"/>
                <w:color w:val="313131"/>
              </w:rPr>
            </w:pPr>
          </w:p>
          <w:p w14:paraId="667F08F4" w14:textId="6A7DA924" w:rsidR="00472715" w:rsidRPr="00520C23" w:rsidRDefault="00472715" w:rsidP="00472715">
            <w:pPr>
              <w:spacing w:before="120"/>
            </w:pPr>
            <w:r w:rsidRPr="00520C23">
              <w:rPr>
                <w:rFonts w:ascii="Calibri" w:eastAsia="Calibri" w:hAnsi="Calibri" w:cs="Calibri"/>
                <w:color w:val="313131"/>
              </w:rPr>
              <w:t>The Code of Practice identifies the process gas companies must undertake if emission concentration limits are exceeded. The process includes giving notice to the regulator and undertaking an investigation. Cumulative impacts are also considered through the delivery of recommendations 14.19 and 14.21.</w:t>
            </w:r>
          </w:p>
        </w:tc>
        <w:tc>
          <w:tcPr>
            <w:tcW w:w="5670" w:type="dxa"/>
            <w:shd w:val="clear" w:color="auto" w:fill="auto"/>
          </w:tcPr>
          <w:p w14:paraId="772BBA6A" w14:textId="46131E52" w:rsidR="00472715" w:rsidRPr="00520C23" w:rsidRDefault="00472715" w:rsidP="00472715">
            <w:pPr>
              <w:spacing w:before="120"/>
              <w:rPr>
                <w:rFonts w:cstheme="minorHAnsi"/>
                <w:b/>
              </w:rPr>
            </w:pPr>
            <w:r w:rsidRPr="00520C23">
              <w:rPr>
                <w:rFonts w:cstheme="minorHAnsi"/>
                <w:b/>
              </w:rPr>
              <w:t>Code of Practice</w:t>
            </w:r>
          </w:p>
          <w:p w14:paraId="1B7522F3" w14:textId="2139F1E1" w:rsidR="00472715" w:rsidRPr="00520C23" w:rsidRDefault="00472715" w:rsidP="00472715">
            <w:pPr>
              <w:spacing w:before="120"/>
              <w:rPr>
                <w:rFonts w:cstheme="minorHAnsi"/>
                <w:u w:val="single"/>
              </w:rPr>
            </w:pPr>
            <w:r w:rsidRPr="00520C23">
              <w:rPr>
                <w:rFonts w:cstheme="minorHAnsi"/>
                <w:u w:val="single"/>
              </w:rPr>
              <w:t>D.5 Emissions Detection and Management</w:t>
            </w:r>
          </w:p>
          <w:p w14:paraId="29C7E5A6" w14:textId="38652625" w:rsidR="00472715" w:rsidRPr="00520C23" w:rsidRDefault="00472715" w:rsidP="00472715">
            <w:pPr>
              <w:spacing w:before="120"/>
              <w:rPr>
                <w:rFonts w:cstheme="minorHAnsi"/>
              </w:rPr>
            </w:pPr>
            <w:r w:rsidRPr="00520C23">
              <w:rPr>
                <w:rFonts w:cstheme="minorHAnsi"/>
                <w:u w:val="single"/>
              </w:rPr>
              <w:t>D.5.6 Leak Remediation and Notification</w:t>
            </w:r>
            <w:r w:rsidRPr="00520C23">
              <w:rPr>
                <w:rFonts w:cstheme="minorHAnsi"/>
              </w:rPr>
              <w:t xml:space="preserve"> (establishes requirements for managing, documenting, and notifying significant leaks). </w:t>
            </w:r>
          </w:p>
          <w:p w14:paraId="005B7C46" w14:textId="37D1A048" w:rsidR="00472715" w:rsidRPr="00520C23" w:rsidRDefault="00472715" w:rsidP="00472715">
            <w:pPr>
              <w:spacing w:before="120"/>
              <w:rPr>
                <w:rFonts w:cstheme="minorHAnsi"/>
              </w:rPr>
            </w:pPr>
            <w:r w:rsidRPr="00520C23">
              <w:rPr>
                <w:bCs/>
              </w:rPr>
              <w:t xml:space="preserve">The </w:t>
            </w:r>
            <w:r w:rsidRPr="00520C23">
              <w:rPr>
                <w:bCs/>
                <w:i/>
              </w:rPr>
              <w:t xml:space="preserve">Petroleum (Environment) Regulations </w:t>
            </w:r>
            <w:r w:rsidRPr="00520C23">
              <w:rPr>
                <w:bCs/>
              </w:rPr>
              <w:t xml:space="preserve">require the Minister to publish notices/reports of reportable and recordable incidents – which we assume would include methane leaks. </w:t>
            </w:r>
            <w:hyperlink r:id="rId59" w:history="1">
              <w:r w:rsidRPr="00520C23">
                <w:rPr>
                  <w:rStyle w:val="Hyperlink"/>
                  <w:rFonts w:cstheme="minorHAnsi"/>
                </w:rPr>
                <w:br/>
              </w:r>
            </w:hyperlink>
          </w:p>
        </w:tc>
        <w:tc>
          <w:tcPr>
            <w:tcW w:w="5310" w:type="dxa"/>
            <w:shd w:val="clear" w:color="auto" w:fill="FED6D6"/>
          </w:tcPr>
          <w:p w14:paraId="50233929" w14:textId="51F85940" w:rsidR="00472715" w:rsidRPr="00520C23" w:rsidRDefault="00472715" w:rsidP="00472715">
            <w:pPr>
              <w:spacing w:before="120"/>
              <w:rPr>
                <w:rFonts w:cstheme="minorHAnsi"/>
              </w:rPr>
            </w:pPr>
            <w:r w:rsidRPr="00520C23">
              <w:rPr>
                <w:rFonts w:cstheme="minorHAnsi"/>
              </w:rPr>
              <w:t>The Code of Practice does not adequately meet recommendation 9.6.</w:t>
            </w:r>
          </w:p>
          <w:p w14:paraId="0B29D782" w14:textId="09EAD1A4" w:rsidR="00472715" w:rsidRPr="00520C23" w:rsidRDefault="00472715" w:rsidP="00472715">
            <w:pPr>
              <w:spacing w:before="120"/>
              <w:rPr>
                <w:rFonts w:cstheme="minorHAnsi"/>
                <w:i/>
                <w:iCs/>
                <w:u w:val="single"/>
              </w:rPr>
            </w:pPr>
            <w:r w:rsidRPr="00520C23">
              <w:rPr>
                <w:rFonts w:cstheme="minorHAnsi"/>
                <w:i/>
                <w:iCs/>
                <w:u w:val="single"/>
              </w:rPr>
              <w:t>Comments</w:t>
            </w:r>
          </w:p>
          <w:p w14:paraId="28ADAD2B" w14:textId="0D39E516" w:rsidR="00472715" w:rsidRPr="00520C23" w:rsidRDefault="00472715" w:rsidP="00472715">
            <w:pPr>
              <w:pStyle w:val="ListParagraph"/>
              <w:numPr>
                <w:ilvl w:val="0"/>
                <w:numId w:val="7"/>
              </w:numPr>
              <w:spacing w:before="120"/>
              <w:rPr>
                <w:rFonts w:cstheme="minorHAnsi"/>
                <w:b/>
                <w:bCs/>
              </w:rPr>
            </w:pPr>
            <w:r w:rsidRPr="00520C23">
              <w:rPr>
                <w:rFonts w:cstheme="minorHAnsi"/>
                <w:bCs/>
              </w:rPr>
              <w:t>D.5.6.1 allows up to 30 days after detection for minor leaks to be repaired, which seems overly lenient.</w:t>
            </w:r>
          </w:p>
          <w:p w14:paraId="2A05FBE0" w14:textId="5FE8B216" w:rsidR="00472715" w:rsidRPr="00520C23" w:rsidRDefault="00472715" w:rsidP="00472715">
            <w:pPr>
              <w:pStyle w:val="ListParagraph"/>
              <w:numPr>
                <w:ilvl w:val="0"/>
                <w:numId w:val="7"/>
              </w:numPr>
              <w:spacing w:before="120"/>
              <w:rPr>
                <w:rFonts w:cstheme="minorHAnsi"/>
                <w:b/>
                <w:bCs/>
              </w:rPr>
            </w:pPr>
            <w:r w:rsidRPr="00520C23">
              <w:rPr>
                <w:rFonts w:cstheme="minorHAnsi"/>
                <w:bCs/>
              </w:rPr>
              <w:t xml:space="preserve">The Code does not require the Company to notify the Minister of the leak unless it cannot repair the leak within 30 days. </w:t>
            </w:r>
          </w:p>
          <w:p w14:paraId="4D64E536" w14:textId="77777777" w:rsidR="00472715" w:rsidRPr="00520C23" w:rsidRDefault="00472715" w:rsidP="00472715">
            <w:pPr>
              <w:pStyle w:val="ListParagraph"/>
              <w:numPr>
                <w:ilvl w:val="0"/>
                <w:numId w:val="7"/>
              </w:numPr>
              <w:spacing w:before="120"/>
              <w:rPr>
                <w:rFonts w:cstheme="minorHAnsi"/>
                <w:b/>
                <w:bCs/>
              </w:rPr>
            </w:pPr>
            <w:r w:rsidRPr="00520C23">
              <w:rPr>
                <w:rFonts w:cstheme="minorHAnsi"/>
                <w:bCs/>
              </w:rPr>
              <w:t xml:space="preserve">The Code does not appear to require records of leaks to be made publicly available on an ongoing basis. </w:t>
            </w:r>
          </w:p>
          <w:p w14:paraId="50BB2DFE" w14:textId="2ED95E38" w:rsidR="00472715" w:rsidRPr="00520C23" w:rsidRDefault="00472715" w:rsidP="00472715">
            <w:pPr>
              <w:pStyle w:val="ListParagraph"/>
              <w:numPr>
                <w:ilvl w:val="0"/>
                <w:numId w:val="7"/>
              </w:numPr>
              <w:spacing w:before="120"/>
              <w:rPr>
                <w:rFonts w:cstheme="minorHAnsi"/>
                <w:b/>
                <w:bCs/>
              </w:rPr>
            </w:pPr>
            <w:r w:rsidRPr="00520C23">
              <w:rPr>
                <w:rFonts w:cstheme="minorHAnsi"/>
                <w:bCs/>
              </w:rPr>
              <w:t xml:space="preserve">It is not clear if or how implementation of “make-good provisions” are incorporated into the Code. </w:t>
            </w:r>
          </w:p>
        </w:tc>
      </w:tr>
      <w:tr w:rsidR="00EA3C33" w:rsidRPr="00520C23" w14:paraId="1B5FE1DD" w14:textId="77777777" w:rsidTr="00EA3C33">
        <w:tc>
          <w:tcPr>
            <w:tcW w:w="846" w:type="dxa"/>
            <w:shd w:val="clear" w:color="auto" w:fill="auto"/>
          </w:tcPr>
          <w:p w14:paraId="7B6C0D18" w14:textId="0FC0DD3B" w:rsidR="00472715" w:rsidRPr="00520C23" w:rsidRDefault="00472715" w:rsidP="00472715">
            <w:pPr>
              <w:spacing w:before="120"/>
              <w:jc w:val="center"/>
              <w:rPr>
                <w:rFonts w:cstheme="minorHAnsi"/>
              </w:rPr>
            </w:pPr>
            <w:r w:rsidRPr="00520C23">
              <w:rPr>
                <w:rFonts w:cstheme="minorHAnsi"/>
              </w:rPr>
              <w:t>9.7</w:t>
            </w:r>
          </w:p>
        </w:tc>
        <w:tc>
          <w:tcPr>
            <w:tcW w:w="4819" w:type="dxa"/>
            <w:shd w:val="clear" w:color="auto" w:fill="auto"/>
          </w:tcPr>
          <w:p w14:paraId="76BC0B80" w14:textId="77777777" w:rsidR="00472715" w:rsidRPr="00520C23" w:rsidRDefault="00472715" w:rsidP="00472715">
            <w:pPr>
              <w:spacing w:before="120"/>
              <w:rPr>
                <w:rFonts w:cstheme="minorHAnsi"/>
                <w:bCs/>
                <w:i/>
                <w:iCs/>
              </w:rPr>
            </w:pPr>
            <w:r w:rsidRPr="00520C23">
              <w:rPr>
                <w:rFonts w:cstheme="minorHAnsi"/>
                <w:i/>
                <w:iCs/>
              </w:rPr>
              <w:t>That the action framework outlined in Table 9.10 be implemented to lower fugitive methane emissions.</w:t>
            </w:r>
            <w:r w:rsidRPr="00520C23">
              <w:rPr>
                <w:rFonts w:cstheme="minorHAnsi"/>
                <w:bCs/>
                <w:i/>
                <w:iCs/>
              </w:rPr>
              <w:t xml:space="preserve"> </w:t>
            </w:r>
          </w:p>
          <w:p w14:paraId="7513F0A6" w14:textId="354F4168" w:rsidR="00472715" w:rsidRPr="00520C23" w:rsidRDefault="00472715" w:rsidP="00472715">
            <w:pPr>
              <w:spacing w:before="120"/>
              <w:rPr>
                <w:rFonts w:cstheme="minorHAnsi"/>
                <w:bCs/>
                <w:i/>
                <w:iCs/>
              </w:rPr>
            </w:pPr>
            <w:r w:rsidRPr="00520C23">
              <w:rPr>
                <w:rFonts w:cstheme="minorHAnsi"/>
                <w:bCs/>
                <w:i/>
                <w:iCs/>
              </w:rPr>
              <w:t>Table 9.10 mitigation actions:</w:t>
            </w:r>
          </w:p>
          <w:p w14:paraId="19040C9D" w14:textId="77777777"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Ensure that world leading practice regulations are implemented that are known to achieve lower methane emissions.</w:t>
            </w:r>
          </w:p>
          <w:p w14:paraId="4B64A3B3" w14:textId="77777777"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 xml:space="preserve">Prescription-based regulation only, while achieving desirable outcomes, may restrict </w:t>
            </w:r>
            <w:r w:rsidRPr="00520C23">
              <w:rPr>
                <w:rFonts w:cstheme="minorHAnsi"/>
                <w:bCs/>
                <w:i/>
                <w:iCs/>
              </w:rPr>
              <w:lastRenderedPageBreak/>
              <w:t>new technologies. There is a need to allow appropriate flexibility in the formulation of performance-based regulations.</w:t>
            </w:r>
          </w:p>
          <w:p w14:paraId="6EE8DA7F" w14:textId="77777777"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Ensure that there are appropriate incentives for compliance and penalties for non-compliance.</w:t>
            </w:r>
          </w:p>
          <w:p w14:paraId="76133D7C" w14:textId="77777777"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Ensure that there are appropriate requirements for monitoring regulatory compliance and that there are adequate resources.</w:t>
            </w:r>
          </w:p>
          <w:p w14:paraId="5B2AA7EB" w14:textId="77777777"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Ensure that there are appropriate requirements for monitoring emissions.</w:t>
            </w:r>
          </w:p>
          <w:p w14:paraId="1A6A91DA" w14:textId="77777777"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Ensure that there are adequate resources to undertake monitoring and that this monitoring is undertaken by an independent organisation with the necessary expertise.</w:t>
            </w:r>
          </w:p>
          <w:p w14:paraId="7B3F4255" w14:textId="5939D343" w:rsidR="00472715" w:rsidRPr="00520C23" w:rsidRDefault="00472715" w:rsidP="00472715">
            <w:pPr>
              <w:pStyle w:val="ListParagraph"/>
              <w:numPr>
                <w:ilvl w:val="0"/>
                <w:numId w:val="61"/>
              </w:numPr>
              <w:spacing w:before="120"/>
              <w:rPr>
                <w:rFonts w:cstheme="minorHAnsi"/>
                <w:bCs/>
                <w:i/>
                <w:iCs/>
              </w:rPr>
            </w:pPr>
            <w:r w:rsidRPr="00520C23">
              <w:rPr>
                <w:rFonts w:cstheme="minorHAnsi"/>
                <w:bCs/>
                <w:i/>
                <w:iCs/>
              </w:rPr>
              <w:t>These failure events can be mitigated by ensuring compliance with appropriate regulations, including undertaking rigorous risk assessment and ensuring that a formal leak detection and repair program is undertaken regularly.</w:t>
            </w:r>
          </w:p>
        </w:tc>
        <w:tc>
          <w:tcPr>
            <w:tcW w:w="5760" w:type="dxa"/>
            <w:shd w:val="clear" w:color="auto" w:fill="auto"/>
          </w:tcPr>
          <w:p w14:paraId="44E0B762" w14:textId="4269BCE3" w:rsidR="00472715" w:rsidRPr="00520C23" w:rsidRDefault="00472715" w:rsidP="00472715">
            <w:pPr>
              <w:spacing w:before="120"/>
              <w:rPr>
                <w:rFonts w:cstheme="minorHAnsi"/>
                <w:bCs/>
              </w:rPr>
            </w:pPr>
            <w:r w:rsidRPr="00520C23">
              <w:rPr>
                <w:rFonts w:cstheme="minorHAnsi"/>
                <w:bCs/>
              </w:rPr>
              <w:lastRenderedPageBreak/>
              <w:t>The Northern Territory Government has worked with independent scientific experts to develop a Code of Practice relative to the Inquiry's recommendation. The Code is legally enforceable through the Petroleum (Environment) Regulations 2016. The finalised </w:t>
            </w:r>
            <w:hyperlink r:id="rId60" w:history="1">
              <w:r w:rsidRPr="00520C23">
                <w:rPr>
                  <w:rStyle w:val="Hyperlink"/>
                  <w:rFonts w:cstheme="minorHAnsi"/>
                  <w:bCs/>
                </w:rPr>
                <w:t>Code</w:t>
              </w:r>
            </w:hyperlink>
            <w:r w:rsidRPr="00520C23">
              <w:rPr>
                <w:rFonts w:cstheme="minorHAnsi"/>
                <w:bCs/>
              </w:rPr>
              <w:t> was published on 12 June 2019.</w:t>
            </w:r>
          </w:p>
        </w:tc>
        <w:tc>
          <w:tcPr>
            <w:tcW w:w="5670" w:type="dxa"/>
            <w:shd w:val="clear" w:color="auto" w:fill="auto"/>
          </w:tcPr>
          <w:p w14:paraId="7B4A22C9" w14:textId="77777777" w:rsidR="00472715" w:rsidRPr="00520C23" w:rsidRDefault="00472715" w:rsidP="00472715">
            <w:pPr>
              <w:spacing w:before="120"/>
              <w:rPr>
                <w:rFonts w:cstheme="minorHAnsi"/>
                <w:b/>
              </w:rPr>
            </w:pPr>
            <w:r w:rsidRPr="00520C23">
              <w:rPr>
                <w:rFonts w:cstheme="minorHAnsi"/>
                <w:b/>
              </w:rPr>
              <w:t>Code of Practice</w:t>
            </w:r>
          </w:p>
          <w:p w14:paraId="7BE7F1DB" w14:textId="1758B821" w:rsidR="00472715" w:rsidRPr="00520C23" w:rsidRDefault="00472715" w:rsidP="00472715">
            <w:pPr>
              <w:spacing w:before="120"/>
              <w:rPr>
                <w:rFonts w:cstheme="minorHAnsi"/>
              </w:rPr>
            </w:pPr>
            <w:r w:rsidRPr="00520C23">
              <w:rPr>
                <w:rFonts w:cstheme="minorHAnsi"/>
                <w:u w:val="single"/>
              </w:rPr>
              <w:t xml:space="preserve">Part D — Methane emissions monitoring, leak management, detection and reporting </w:t>
            </w:r>
          </w:p>
        </w:tc>
        <w:tc>
          <w:tcPr>
            <w:tcW w:w="5310" w:type="dxa"/>
            <w:shd w:val="clear" w:color="auto" w:fill="FFF2CC" w:themeFill="accent4" w:themeFillTint="33"/>
          </w:tcPr>
          <w:p w14:paraId="7D46240F" w14:textId="39505E03" w:rsidR="00472715" w:rsidRPr="00520C23" w:rsidRDefault="00472715" w:rsidP="00472715">
            <w:pPr>
              <w:spacing w:before="120"/>
              <w:rPr>
                <w:rFonts w:cstheme="minorHAnsi"/>
              </w:rPr>
            </w:pPr>
            <w:r w:rsidRPr="00520C23">
              <w:rPr>
                <w:rFonts w:cstheme="minorHAnsi"/>
              </w:rPr>
              <w:t xml:space="preserve">The vagueness and breadth of </w:t>
            </w:r>
            <w:r w:rsidR="005A346C">
              <w:rPr>
                <w:rFonts w:cstheme="minorHAnsi"/>
              </w:rPr>
              <w:t>r</w:t>
            </w:r>
            <w:r w:rsidRPr="00520C23">
              <w:rPr>
                <w:rFonts w:cstheme="minorHAnsi"/>
              </w:rPr>
              <w:t>ecommendation 9.7 makes it difficult to assess to what extent it has been implemented. We conclude that it has been partially addressed via the Code.</w:t>
            </w:r>
          </w:p>
          <w:p w14:paraId="4F1E8D93" w14:textId="57088794" w:rsidR="00472715" w:rsidRPr="00520C23" w:rsidRDefault="00472715" w:rsidP="00472715">
            <w:pPr>
              <w:spacing w:before="120"/>
              <w:rPr>
                <w:rFonts w:cstheme="minorHAnsi"/>
                <w:i/>
                <w:iCs/>
                <w:u w:val="single"/>
              </w:rPr>
            </w:pPr>
            <w:r w:rsidRPr="00520C23">
              <w:rPr>
                <w:rFonts w:cstheme="minorHAnsi"/>
                <w:i/>
                <w:iCs/>
                <w:u w:val="single"/>
              </w:rPr>
              <w:t>Comments</w:t>
            </w:r>
          </w:p>
          <w:p w14:paraId="69DA2182" w14:textId="7AF61F60" w:rsidR="00472715" w:rsidRPr="00520C23" w:rsidRDefault="00472715" w:rsidP="00472715">
            <w:pPr>
              <w:spacing w:before="120"/>
              <w:rPr>
                <w:rFonts w:cstheme="minorHAnsi"/>
              </w:rPr>
            </w:pPr>
            <w:r w:rsidRPr="00520C23">
              <w:rPr>
                <w:rFonts w:cstheme="minorHAnsi"/>
              </w:rPr>
              <w:t>Assessment of corresponding provisions in the Code:</w:t>
            </w:r>
          </w:p>
          <w:p w14:paraId="4DF266A0" w14:textId="77777777" w:rsidR="00472715" w:rsidRPr="00520C23" w:rsidRDefault="00472715" w:rsidP="00472715">
            <w:pPr>
              <w:pStyle w:val="ListParagraph"/>
              <w:numPr>
                <w:ilvl w:val="0"/>
                <w:numId w:val="90"/>
              </w:numPr>
              <w:spacing w:before="120"/>
              <w:rPr>
                <w:rFonts w:cstheme="minorHAnsi"/>
              </w:rPr>
            </w:pPr>
            <w:r w:rsidRPr="00520C23">
              <w:rPr>
                <w:rFonts w:cstheme="minorHAnsi"/>
              </w:rPr>
              <w:t>The Code incorporates US NSPS 2016 and US EPA Method 21 (determination of VOC leaks from process equipment).</w:t>
            </w:r>
          </w:p>
          <w:p w14:paraId="1B017648" w14:textId="77777777" w:rsidR="00472715" w:rsidRPr="00520C23" w:rsidRDefault="00472715" w:rsidP="00472715">
            <w:pPr>
              <w:pStyle w:val="ListParagraph"/>
              <w:numPr>
                <w:ilvl w:val="0"/>
                <w:numId w:val="90"/>
              </w:numPr>
              <w:spacing w:before="120"/>
              <w:rPr>
                <w:rFonts w:cstheme="minorHAnsi"/>
              </w:rPr>
            </w:pPr>
            <w:r w:rsidRPr="00520C23">
              <w:rPr>
                <w:rFonts w:cstheme="minorHAnsi"/>
              </w:rPr>
              <w:lastRenderedPageBreak/>
              <w:t>The leak detection instruments used should be “selected to ensure they are fit for purpose and maximise the probability of detecting methane leaks.” USEPA Method 21 and optical gas imaging are identified as leak testing methods, but the operator can propose “other superior methods” if available. (D.5.3.2).</w:t>
            </w:r>
          </w:p>
          <w:p w14:paraId="3591B7C0" w14:textId="4604E3DF" w:rsidR="00472715" w:rsidRPr="00520C23" w:rsidRDefault="00472715" w:rsidP="00472715">
            <w:pPr>
              <w:pStyle w:val="ListParagraph"/>
              <w:numPr>
                <w:ilvl w:val="0"/>
                <w:numId w:val="90"/>
              </w:numPr>
              <w:spacing w:before="120"/>
              <w:rPr>
                <w:rFonts w:cstheme="minorHAnsi"/>
              </w:rPr>
            </w:pPr>
            <w:r w:rsidRPr="00520C23">
              <w:rPr>
                <w:rFonts w:cstheme="minorHAnsi"/>
              </w:rPr>
              <w:t>There do not seem to be any penalties for violating the Code in the Code itself, but “an interest holder must demonstrate in an environment management plan (EMP) under the PER how the requirements of this Code will be met (see Schedule 1, cl 10 of the PER),” and the PER contains penalties. Code at 3.1(c). Regulation 31 of the PER notes that “a person who carries out a regulated activity in a manner that contravenes the current plan for the activity commits an offence” for which they may be liable for up to 200 penalty units.</w:t>
            </w:r>
          </w:p>
          <w:p w14:paraId="74729840" w14:textId="06E257DA" w:rsidR="00472715" w:rsidRPr="00520C23" w:rsidRDefault="00472715" w:rsidP="00472715">
            <w:pPr>
              <w:pStyle w:val="ListParagraph"/>
              <w:numPr>
                <w:ilvl w:val="0"/>
                <w:numId w:val="90"/>
              </w:numPr>
              <w:spacing w:before="120"/>
              <w:rPr>
                <w:rFonts w:cstheme="minorHAnsi"/>
              </w:rPr>
            </w:pPr>
            <w:r w:rsidRPr="00520C23">
              <w:rPr>
                <w:rFonts w:cstheme="minorHAnsi"/>
              </w:rPr>
              <w:t xml:space="preserve">Section D.6 contains reporting requirements with regards to methane emissions. For example, the operator has to submit an annual report to the NT government on flowback activities, operation of reciprocating compressors, and leak detection survey results. It is unclear whether these annual reports will be made public. </w:t>
            </w:r>
          </w:p>
          <w:p w14:paraId="28791D3F" w14:textId="24B50A2D" w:rsidR="00472715" w:rsidRPr="00520C23" w:rsidRDefault="00472715" w:rsidP="00472715">
            <w:pPr>
              <w:pStyle w:val="ListParagraph"/>
              <w:numPr>
                <w:ilvl w:val="0"/>
                <w:numId w:val="90"/>
              </w:numPr>
              <w:spacing w:before="120"/>
              <w:rPr>
                <w:rFonts w:cstheme="minorHAnsi"/>
              </w:rPr>
            </w:pPr>
            <w:r w:rsidRPr="00520C23">
              <w:rPr>
                <w:rFonts w:cstheme="minorHAnsi"/>
              </w:rPr>
              <w:t>Section D.4.3 discusses the routine periodic atmospheric monitoring programme. Section D.5.2 includes requirements related to inspection frequency and procedure.</w:t>
            </w:r>
          </w:p>
          <w:p w14:paraId="316536A8" w14:textId="48CF8AE8" w:rsidR="00472715" w:rsidRPr="00520C23" w:rsidRDefault="00472715" w:rsidP="00472715">
            <w:pPr>
              <w:pStyle w:val="ListParagraph"/>
              <w:numPr>
                <w:ilvl w:val="0"/>
                <w:numId w:val="90"/>
              </w:numPr>
              <w:spacing w:before="120"/>
              <w:rPr>
                <w:rFonts w:cstheme="minorHAnsi"/>
              </w:rPr>
            </w:pPr>
            <w:r w:rsidRPr="00520C23">
              <w:rPr>
                <w:rFonts w:cstheme="minorHAnsi"/>
              </w:rPr>
              <w:t>“Leak detection and monitoring methods are selected to ensure that they are fit for purpose and are conducted by a suitably qualified person to maximise the probability of detecting methane leaks.” D.5.4.1. The definition of a “suitably qualified person” does not include independence as a requirement. The Code notes that it does not “cover independent validation and verification requirements for activities during the life-cycle of a well.” B.2.</w:t>
            </w:r>
          </w:p>
          <w:p w14:paraId="0C3654CD" w14:textId="3C537CF1" w:rsidR="00472715" w:rsidRPr="00520C23" w:rsidRDefault="00472715" w:rsidP="00472715">
            <w:pPr>
              <w:pStyle w:val="ListParagraph"/>
              <w:numPr>
                <w:ilvl w:val="0"/>
                <w:numId w:val="90"/>
              </w:numPr>
              <w:spacing w:before="120"/>
              <w:rPr>
                <w:rFonts w:cstheme="minorHAnsi"/>
              </w:rPr>
            </w:pPr>
            <w:r w:rsidRPr="00520C23">
              <w:rPr>
                <w:rFonts w:cstheme="minorHAnsi"/>
              </w:rPr>
              <w:t xml:space="preserve">Interest holders have to conduct a risk assessment to identify risks posed by leaks (D.5.1.2(a)). Table 10 indicates the emission inspection minimum frequency for different facilities and systems. For example, all gas containing equipment following major maintenance (e.g. repacking, replacement of seals) has to be inspected within 48 hours of recommissioning. Low pressure pipeline and fittings, steel or high pressure pipelines, and </w:t>
            </w:r>
            <w:r w:rsidRPr="00520C23">
              <w:rPr>
                <w:rFonts w:cstheme="minorHAnsi"/>
              </w:rPr>
              <w:lastRenderedPageBreak/>
              <w:t>processing plants must be inspected at least annually.</w:t>
            </w:r>
          </w:p>
        </w:tc>
      </w:tr>
      <w:tr w:rsidR="00EA3C33" w:rsidRPr="00520C23" w14:paraId="2195EB25" w14:textId="77777777" w:rsidTr="00EA3C33">
        <w:tc>
          <w:tcPr>
            <w:tcW w:w="846" w:type="dxa"/>
            <w:shd w:val="clear" w:color="auto" w:fill="auto"/>
          </w:tcPr>
          <w:p w14:paraId="38D132EC" w14:textId="4E03D087" w:rsidR="00472715" w:rsidRPr="00520C23" w:rsidRDefault="00472715" w:rsidP="00472715">
            <w:pPr>
              <w:spacing w:before="120"/>
              <w:jc w:val="center"/>
              <w:rPr>
                <w:rFonts w:cstheme="minorHAnsi"/>
              </w:rPr>
            </w:pPr>
            <w:r>
              <w:rPr>
                <w:rFonts w:cstheme="minorHAnsi"/>
              </w:rPr>
              <w:lastRenderedPageBreak/>
              <w:t>10.1</w:t>
            </w:r>
          </w:p>
        </w:tc>
        <w:tc>
          <w:tcPr>
            <w:tcW w:w="4819" w:type="dxa"/>
            <w:shd w:val="clear" w:color="auto" w:fill="auto"/>
          </w:tcPr>
          <w:p w14:paraId="789C3642" w14:textId="77777777" w:rsidR="00472715" w:rsidRPr="00E13A11" w:rsidRDefault="00472715" w:rsidP="00472715">
            <w:pPr>
              <w:spacing w:before="120"/>
              <w:rPr>
                <w:rFonts w:cstheme="minorHAnsi"/>
                <w:i/>
                <w:iCs/>
                <w:lang w:val="en-US"/>
              </w:rPr>
            </w:pPr>
            <w:r w:rsidRPr="00E13A11">
              <w:rPr>
                <w:rFonts w:cstheme="minorHAnsi"/>
                <w:i/>
                <w:iCs/>
                <w:lang w:val="en-US"/>
              </w:rPr>
              <w:t>That formal site or regional-specific HHRA reports be prepared and approved by the regulator prior to the grant of any production approvals.</w:t>
            </w:r>
          </w:p>
          <w:p w14:paraId="1BDA76DE" w14:textId="77777777" w:rsidR="00472715" w:rsidRPr="00E13A11" w:rsidRDefault="00472715" w:rsidP="00472715">
            <w:pPr>
              <w:spacing w:before="120"/>
              <w:rPr>
                <w:rFonts w:cstheme="minorHAnsi"/>
                <w:i/>
                <w:iCs/>
                <w:lang w:val="en-US"/>
              </w:rPr>
            </w:pPr>
            <w:r w:rsidRPr="00E13A11">
              <w:rPr>
                <w:rFonts w:cstheme="minorHAnsi"/>
                <w:i/>
                <w:iCs/>
                <w:lang w:val="en-US"/>
              </w:rPr>
              <w:t>Such HHRA reports must address the potential human exposures and health risks associated with the exploration for, and the production of, any shale gas development, off-site transport, and the decommissioning of wells, as recommended in NCRA guidance. The HHRA reports must include risk estimate assessments for exposure pathways that are deemed to be incomplete.</w:t>
            </w:r>
          </w:p>
          <w:p w14:paraId="4C9B4AF2" w14:textId="77777777" w:rsidR="00472715" w:rsidRPr="00E13A11" w:rsidRDefault="00472715" w:rsidP="00472715">
            <w:pPr>
              <w:spacing w:before="120"/>
              <w:rPr>
                <w:rFonts w:cstheme="minorHAnsi"/>
                <w:i/>
                <w:iCs/>
                <w:lang w:val="en-US"/>
              </w:rPr>
            </w:pPr>
          </w:p>
        </w:tc>
        <w:tc>
          <w:tcPr>
            <w:tcW w:w="5760" w:type="dxa"/>
            <w:shd w:val="clear" w:color="auto" w:fill="auto"/>
          </w:tcPr>
          <w:p w14:paraId="2E556EEA" w14:textId="77777777" w:rsidR="00472715" w:rsidRPr="00E13A11" w:rsidRDefault="00472715" w:rsidP="00472715">
            <w:pPr>
              <w:spacing w:before="120"/>
              <w:rPr>
                <w:rFonts w:cstheme="minorHAnsi"/>
                <w:bCs/>
                <w:lang w:val="en-US"/>
              </w:rPr>
            </w:pPr>
            <w:r w:rsidRPr="00E13A11">
              <w:rPr>
                <w:rFonts w:cstheme="minorHAnsi"/>
                <w:bCs/>
                <w:lang w:val="en-US"/>
              </w:rPr>
              <w:t>National guidance for human health and environmental risk assessment will be adopted by the Northern Territory and made enforceable via amendment to the </w:t>
            </w:r>
            <w:r w:rsidRPr="00E13A11">
              <w:rPr>
                <w:rFonts w:cstheme="minorHAnsi"/>
                <w:bCs/>
                <w:i/>
                <w:iCs/>
                <w:lang w:val="en-US"/>
              </w:rPr>
              <w:t>Petroleum Act</w:t>
            </w:r>
            <w:r w:rsidRPr="00E13A11">
              <w:rPr>
                <w:rFonts w:cstheme="minorHAnsi"/>
                <w:bCs/>
                <w:lang w:val="en-US"/>
              </w:rPr>
              <w:t> 1984 and the Petroleum (Environment) Regulations 2016.</w:t>
            </w:r>
          </w:p>
          <w:p w14:paraId="1E8CDFCD" w14:textId="77777777" w:rsidR="00472715" w:rsidRPr="00E13A11" w:rsidRDefault="00472715" w:rsidP="00472715">
            <w:pPr>
              <w:spacing w:before="120"/>
              <w:rPr>
                <w:rFonts w:cstheme="minorHAnsi"/>
                <w:bCs/>
                <w:lang w:val="en-US"/>
              </w:rPr>
            </w:pPr>
            <w:r w:rsidRPr="00E13A11">
              <w:rPr>
                <w:rFonts w:cstheme="minorHAnsi"/>
                <w:bCs/>
                <w:lang w:val="en-US"/>
              </w:rPr>
              <w:t>The Petroleum Legislation Amendment Bill 2022 was introduced in the Legislative Assembly on 12 October 2022, passed on 1 December 2022 and assented to on 16 December 2022. Refer to </w:t>
            </w:r>
            <w:hyperlink r:id="rId61" w:history="1">
              <w:r w:rsidRPr="00E13A11">
                <w:rPr>
                  <w:rStyle w:val="Hyperlink"/>
                  <w:rFonts w:cstheme="minorHAnsi"/>
                  <w:bCs/>
                  <w:lang w:val="en-US"/>
                </w:rPr>
                <w:t>Special Gazette S64 PDF (182.5 KB)</w:t>
              </w:r>
            </w:hyperlink>
            <w:r w:rsidRPr="00E13A11">
              <w:rPr>
                <w:rFonts w:cstheme="minorHAnsi"/>
                <w:bCs/>
                <w:lang w:val="en-US"/>
              </w:rPr>
              <w:t> published on 19 December 2022.</w:t>
            </w:r>
          </w:p>
          <w:p w14:paraId="1D727851" w14:textId="77777777" w:rsidR="00472715" w:rsidRPr="00E13A11" w:rsidRDefault="00472715" w:rsidP="00472715">
            <w:pPr>
              <w:spacing w:before="120"/>
              <w:rPr>
                <w:rFonts w:cstheme="minorHAnsi"/>
                <w:bCs/>
                <w:lang w:val="en-US"/>
              </w:rPr>
            </w:pPr>
            <w:r w:rsidRPr="00E13A11">
              <w:rPr>
                <w:rFonts w:cstheme="minorHAnsi"/>
                <w:bCs/>
                <w:lang w:val="en-US"/>
              </w:rPr>
              <w:t>Amendments to the </w:t>
            </w:r>
            <w:r w:rsidRPr="00E13A11">
              <w:rPr>
                <w:rFonts w:cstheme="minorHAnsi"/>
                <w:bCs/>
                <w:i/>
                <w:iCs/>
                <w:lang w:val="en-US"/>
              </w:rPr>
              <w:t>Petroleum Act </w:t>
            </w:r>
            <w:r w:rsidRPr="00E13A11">
              <w:rPr>
                <w:rFonts w:cstheme="minorHAnsi"/>
                <w:bCs/>
                <w:lang w:val="en-US"/>
              </w:rPr>
              <w:t>and Petroleum (Environment) Regulations 2020 will establish requirements for Human Health Risk Assessments Environment Management Plans. Amendments also require that risk assessment must be in accordance with recognised national guidance for human health and environmental risk assessment.</w:t>
            </w:r>
          </w:p>
          <w:p w14:paraId="7C96FD21" w14:textId="77777777" w:rsidR="00472715" w:rsidRPr="00E13A11" w:rsidRDefault="00472715" w:rsidP="00472715">
            <w:pPr>
              <w:spacing w:before="120"/>
              <w:rPr>
                <w:rFonts w:cstheme="minorHAnsi"/>
                <w:bCs/>
                <w:lang w:val="en-US"/>
              </w:rPr>
            </w:pPr>
          </w:p>
        </w:tc>
        <w:tc>
          <w:tcPr>
            <w:tcW w:w="5670" w:type="dxa"/>
            <w:shd w:val="clear" w:color="auto" w:fill="auto"/>
          </w:tcPr>
          <w:p w14:paraId="7AB56743" w14:textId="1B0AF0F8" w:rsidR="00472715" w:rsidRDefault="00472715" w:rsidP="00472715">
            <w:pPr>
              <w:spacing w:before="120"/>
              <w:rPr>
                <w:rFonts w:cstheme="minorHAnsi"/>
                <w:b/>
                <w:bCs/>
                <w:lang w:val="en-US"/>
              </w:rPr>
            </w:pPr>
            <w:r>
              <w:rPr>
                <w:rFonts w:cstheme="minorHAnsi"/>
                <w:b/>
                <w:bCs/>
                <w:lang w:val="en-US"/>
              </w:rPr>
              <w:t>Amendment of Petroleum (Environment) Regulations 2016</w:t>
            </w:r>
          </w:p>
          <w:p w14:paraId="7087E24E" w14:textId="4645B173" w:rsidR="00472715" w:rsidRPr="00A17007" w:rsidRDefault="00472715" w:rsidP="00472715">
            <w:pPr>
              <w:spacing w:before="120"/>
              <w:rPr>
                <w:rFonts w:cstheme="minorHAnsi"/>
                <w:b/>
                <w:lang w:val="en-US"/>
              </w:rPr>
            </w:pPr>
            <w:r w:rsidRPr="00A17007">
              <w:rPr>
                <w:rFonts w:cstheme="minorHAnsi"/>
                <w:b/>
                <w:bCs/>
                <w:lang w:val="en-US"/>
              </w:rPr>
              <w:t xml:space="preserve">4A Human health risk assessments </w:t>
            </w:r>
          </w:p>
          <w:p w14:paraId="2801AFDE" w14:textId="77777777" w:rsidR="00472715" w:rsidRPr="00A17007" w:rsidRDefault="00472715" w:rsidP="00472715">
            <w:pPr>
              <w:spacing w:before="120"/>
              <w:rPr>
                <w:rFonts w:cstheme="minorHAnsi"/>
                <w:bCs/>
                <w:lang w:val="en-US"/>
              </w:rPr>
            </w:pPr>
            <w:r w:rsidRPr="00A17007">
              <w:rPr>
                <w:rFonts w:cstheme="minorHAnsi"/>
                <w:bCs/>
                <w:lang w:val="en-US"/>
              </w:rPr>
              <w:t xml:space="preserve">For these Regulations, a full human health risk assessment is an assessment that takes into account the following instruments, as in force from time to time: </w:t>
            </w:r>
          </w:p>
          <w:p w14:paraId="63C48FEB" w14:textId="77777777" w:rsidR="00472715" w:rsidRPr="00A17007" w:rsidRDefault="00472715" w:rsidP="00472715">
            <w:pPr>
              <w:spacing w:before="120"/>
              <w:rPr>
                <w:rFonts w:cstheme="minorHAnsi"/>
                <w:bCs/>
                <w:lang w:val="en-US"/>
              </w:rPr>
            </w:pPr>
            <w:r w:rsidRPr="00A17007">
              <w:rPr>
                <w:rFonts w:cstheme="minorHAnsi"/>
                <w:bCs/>
                <w:lang w:val="en-US"/>
              </w:rPr>
              <w:t xml:space="preserve">(a) </w:t>
            </w:r>
            <w:r w:rsidRPr="00A17007">
              <w:rPr>
                <w:rFonts w:cstheme="minorHAnsi"/>
                <w:bCs/>
                <w:i/>
                <w:iCs/>
                <w:lang w:val="en-US"/>
              </w:rPr>
              <w:t xml:space="preserve">Environmental Health Risk Assessment: Guidelines for Assessing Human Health Risks from Environmental Hazards </w:t>
            </w:r>
            <w:r w:rsidRPr="00A17007">
              <w:rPr>
                <w:rFonts w:cstheme="minorHAnsi"/>
                <w:bCs/>
                <w:lang w:val="en-US"/>
              </w:rPr>
              <w:t xml:space="preserve">published by the Environmental Health Standing Committee; </w:t>
            </w:r>
          </w:p>
          <w:p w14:paraId="06D21406" w14:textId="77777777" w:rsidR="00472715" w:rsidRPr="00A17007" w:rsidRDefault="00472715" w:rsidP="00472715">
            <w:pPr>
              <w:spacing w:before="120"/>
              <w:rPr>
                <w:rFonts w:cstheme="minorHAnsi"/>
                <w:bCs/>
                <w:lang w:val="en-US"/>
              </w:rPr>
            </w:pPr>
            <w:r w:rsidRPr="00A17007">
              <w:rPr>
                <w:rFonts w:cstheme="minorHAnsi"/>
                <w:bCs/>
                <w:lang w:val="en-US"/>
              </w:rPr>
              <w:t xml:space="preserve">(b) </w:t>
            </w:r>
            <w:r w:rsidRPr="00A17007">
              <w:rPr>
                <w:rFonts w:cstheme="minorHAnsi"/>
                <w:bCs/>
                <w:i/>
                <w:iCs/>
                <w:lang w:val="en-US"/>
              </w:rPr>
              <w:t xml:space="preserve">National Environment Protection (Assessment of Site Contamination) Measure 1999 </w:t>
            </w:r>
            <w:r w:rsidRPr="00A17007">
              <w:rPr>
                <w:rFonts w:cstheme="minorHAnsi"/>
                <w:bCs/>
                <w:lang w:val="en-US"/>
              </w:rPr>
              <w:t xml:space="preserve">published by the National Environment Protection Council; </w:t>
            </w:r>
          </w:p>
          <w:p w14:paraId="4456E200" w14:textId="77777777" w:rsidR="00472715" w:rsidRPr="00A17007" w:rsidRDefault="00472715" w:rsidP="00472715">
            <w:pPr>
              <w:spacing w:before="120"/>
              <w:rPr>
                <w:rFonts w:cstheme="minorHAnsi"/>
                <w:bCs/>
                <w:lang w:val="en-US"/>
              </w:rPr>
            </w:pPr>
            <w:r w:rsidRPr="00A17007">
              <w:rPr>
                <w:rFonts w:cstheme="minorHAnsi"/>
                <w:bCs/>
                <w:lang w:val="en-US"/>
              </w:rPr>
              <w:t xml:space="preserve">(c) </w:t>
            </w:r>
            <w:r w:rsidRPr="00A17007">
              <w:rPr>
                <w:rFonts w:cstheme="minorHAnsi"/>
                <w:bCs/>
                <w:i/>
                <w:iCs/>
                <w:lang w:val="en-US"/>
              </w:rPr>
              <w:t xml:space="preserve">National Chemical Risk Assessment Guidance Manual </w:t>
            </w:r>
            <w:r w:rsidRPr="00A17007">
              <w:rPr>
                <w:rFonts w:cstheme="minorHAnsi"/>
                <w:bCs/>
                <w:lang w:val="en-US"/>
              </w:rPr>
              <w:t xml:space="preserve">published by the National Environment Protection Council; </w:t>
            </w:r>
          </w:p>
          <w:p w14:paraId="4AA2DBA0" w14:textId="77777777" w:rsidR="00472715" w:rsidRDefault="00472715" w:rsidP="00472715">
            <w:pPr>
              <w:spacing w:before="120"/>
              <w:rPr>
                <w:rFonts w:cstheme="minorHAnsi"/>
                <w:bCs/>
                <w:lang w:val="en-US"/>
              </w:rPr>
            </w:pPr>
            <w:r w:rsidRPr="00A17007">
              <w:rPr>
                <w:rFonts w:cstheme="minorHAnsi"/>
                <w:bCs/>
                <w:lang w:val="en-US"/>
              </w:rPr>
              <w:t>(d) any other guideline, measure or document specified by the Minister.</w:t>
            </w:r>
          </w:p>
          <w:p w14:paraId="2F5ACF8F" w14:textId="28CD13C4" w:rsidR="00472715" w:rsidRPr="0038509B" w:rsidRDefault="00472715" w:rsidP="00472715">
            <w:pPr>
              <w:spacing w:before="120"/>
              <w:rPr>
                <w:rFonts w:cstheme="minorHAnsi"/>
                <w:b/>
                <w:lang w:val="en-US"/>
              </w:rPr>
            </w:pPr>
            <w:r w:rsidRPr="0038509B">
              <w:rPr>
                <w:rFonts w:cstheme="minorHAnsi"/>
                <w:b/>
                <w:lang w:val="en-US"/>
              </w:rPr>
              <w:t>Schedule 1 amended (Information to be included in environment management plan), clause 4A</w:t>
            </w:r>
          </w:p>
          <w:p w14:paraId="556A5ECE" w14:textId="77777777" w:rsidR="00472715" w:rsidRDefault="00472715" w:rsidP="00472715">
            <w:pPr>
              <w:spacing w:before="120"/>
              <w:rPr>
                <w:rFonts w:cstheme="minorHAnsi"/>
                <w:bCs/>
                <w:lang w:val="en-US"/>
              </w:rPr>
            </w:pPr>
            <w:r w:rsidRPr="0038509B">
              <w:rPr>
                <w:rFonts w:cstheme="minorHAnsi"/>
                <w:bCs/>
                <w:lang w:val="en-US"/>
              </w:rPr>
              <w:t>(2) A plan under subclause (1) must be accompanied by a full human health risk assessment relating to the chemicals or other substances specified in the plan.</w:t>
            </w:r>
          </w:p>
          <w:p w14:paraId="0AA597E9" w14:textId="23E7DEE2" w:rsidR="00472715" w:rsidRDefault="00472715" w:rsidP="00472715">
            <w:pPr>
              <w:spacing w:before="120"/>
              <w:rPr>
                <w:rFonts w:cstheme="minorHAnsi"/>
                <w:b/>
                <w:lang w:val="en-US"/>
              </w:rPr>
            </w:pPr>
            <w:r>
              <w:rPr>
                <w:rFonts w:cstheme="minorHAnsi"/>
                <w:b/>
                <w:lang w:val="en-US"/>
              </w:rPr>
              <w:t xml:space="preserve">37A Report about flowback fluid </w:t>
            </w:r>
          </w:p>
          <w:p w14:paraId="7456C255" w14:textId="1EDE785F" w:rsidR="00472715" w:rsidRPr="00126272" w:rsidRDefault="00472715" w:rsidP="00472715">
            <w:pPr>
              <w:spacing w:before="120"/>
              <w:rPr>
                <w:rFonts w:cstheme="minorHAnsi"/>
                <w:bCs/>
                <w:lang w:val="en-US"/>
              </w:rPr>
            </w:pPr>
            <w:r w:rsidRPr="00126272">
              <w:rPr>
                <w:rFonts w:cstheme="minorHAnsi"/>
                <w:bCs/>
                <w:lang w:val="en-US"/>
              </w:rPr>
              <w:t>(2A) A report under subregulation (2) must be accompanied by a full human health risk assessment relating to any chemical found in the flowback fluid.</w:t>
            </w:r>
          </w:p>
          <w:p w14:paraId="44A3DC25" w14:textId="72824533" w:rsidR="00472715" w:rsidRPr="00F257DA" w:rsidRDefault="00472715" w:rsidP="00472715">
            <w:pPr>
              <w:spacing w:before="120"/>
              <w:rPr>
                <w:rFonts w:cstheme="minorHAnsi"/>
                <w:b/>
                <w:lang w:val="en-US"/>
              </w:rPr>
            </w:pPr>
            <w:r w:rsidRPr="00F257DA">
              <w:rPr>
                <w:rFonts w:cstheme="minorHAnsi"/>
                <w:b/>
                <w:lang w:val="en-US"/>
              </w:rPr>
              <w:t xml:space="preserve">37B Report about produced water </w:t>
            </w:r>
          </w:p>
          <w:p w14:paraId="14532A01" w14:textId="7EDBCBB7" w:rsidR="00472715" w:rsidRDefault="00472715" w:rsidP="00472715">
            <w:pPr>
              <w:spacing w:before="120"/>
              <w:rPr>
                <w:rFonts w:cstheme="minorHAnsi"/>
                <w:bCs/>
                <w:lang w:val="en-US"/>
              </w:rPr>
            </w:pPr>
            <w:r w:rsidRPr="00F257DA">
              <w:rPr>
                <w:rFonts w:cstheme="minorHAnsi"/>
                <w:bCs/>
                <w:lang w:val="en-US"/>
              </w:rPr>
              <w:t>(2A) A report under subregulation (2) must be accompanied by a full human health risk assessment relating to any chemical found in the produced water.</w:t>
            </w:r>
          </w:p>
          <w:p w14:paraId="4779C550" w14:textId="4F3879C2" w:rsidR="00472715" w:rsidRPr="0038509B" w:rsidRDefault="00472715" w:rsidP="00472715">
            <w:pPr>
              <w:spacing w:before="120"/>
              <w:rPr>
                <w:rFonts w:cstheme="minorHAnsi"/>
                <w:bCs/>
              </w:rPr>
            </w:pPr>
          </w:p>
        </w:tc>
        <w:tc>
          <w:tcPr>
            <w:tcW w:w="5310" w:type="dxa"/>
            <w:shd w:val="clear" w:color="auto" w:fill="E2EFD9" w:themeFill="accent6" w:themeFillTint="33"/>
          </w:tcPr>
          <w:p w14:paraId="3F32D365" w14:textId="77777777" w:rsidR="00472715" w:rsidRDefault="00472715" w:rsidP="00472715">
            <w:pPr>
              <w:spacing w:before="120"/>
              <w:rPr>
                <w:rFonts w:cstheme="minorHAnsi"/>
              </w:rPr>
            </w:pPr>
            <w:r>
              <w:rPr>
                <w:rFonts w:cstheme="minorHAnsi"/>
              </w:rPr>
              <w:t xml:space="preserve">This recommendation has likely been fully implemented. The Petroleum Legislation Amendment Bill 2022 replaces Regulation 4A of the Petroleum (Environment) Regulations 2016 with a section on human health risk assessments, including a requirement that such assessments consider the National Chemical Risk Assessment (NCRA) guidance manual, as Recommendation 10.1 notes.  </w:t>
            </w:r>
          </w:p>
          <w:p w14:paraId="25935E50" w14:textId="2C15C8FB" w:rsidR="00472715" w:rsidRPr="00520C23" w:rsidRDefault="00472715" w:rsidP="00472715">
            <w:pPr>
              <w:spacing w:before="120"/>
              <w:rPr>
                <w:rFonts w:cstheme="minorHAnsi"/>
              </w:rPr>
            </w:pPr>
            <w:r>
              <w:rPr>
                <w:rFonts w:cstheme="minorHAnsi"/>
              </w:rPr>
              <w:t xml:space="preserve">Schedule 1 now explicitly requires an HHRA as part of the EMP, and Regulations 37A and 37B require HHRAs with reports on produced water and flowback fluid. </w:t>
            </w:r>
          </w:p>
        </w:tc>
      </w:tr>
      <w:tr w:rsidR="00EA3C33" w:rsidRPr="00520C23" w14:paraId="1EF89B04" w14:textId="793914B3" w:rsidTr="00EA3C33">
        <w:tc>
          <w:tcPr>
            <w:tcW w:w="846" w:type="dxa"/>
            <w:shd w:val="clear" w:color="auto" w:fill="auto"/>
          </w:tcPr>
          <w:p w14:paraId="4D4B47E7" w14:textId="77777777" w:rsidR="00472715" w:rsidRPr="00520C23" w:rsidRDefault="00472715" w:rsidP="00472715">
            <w:pPr>
              <w:spacing w:before="120"/>
              <w:jc w:val="center"/>
              <w:rPr>
                <w:rFonts w:cstheme="minorHAnsi"/>
              </w:rPr>
            </w:pPr>
            <w:r w:rsidRPr="00520C23">
              <w:rPr>
                <w:rFonts w:cstheme="minorHAnsi"/>
              </w:rPr>
              <w:t>10.2</w:t>
            </w:r>
          </w:p>
        </w:tc>
        <w:tc>
          <w:tcPr>
            <w:tcW w:w="4819" w:type="dxa"/>
            <w:shd w:val="clear" w:color="auto" w:fill="auto"/>
          </w:tcPr>
          <w:p w14:paraId="26658052" w14:textId="28495037" w:rsidR="00472715" w:rsidRPr="00520C23" w:rsidRDefault="00472715" w:rsidP="00472715">
            <w:pPr>
              <w:spacing w:before="120"/>
              <w:rPr>
                <w:i/>
                <w:iCs/>
              </w:rPr>
            </w:pPr>
            <w:r w:rsidRPr="00520C23">
              <w:rPr>
                <w:i/>
                <w:iCs/>
              </w:rPr>
              <w:t xml:space="preserve">That in consultation with the gas industry, landholders, Land Councils, local government and local communities, the Government mandates an appropriate setback distance from all gas well heads, pipelines and gas processing facilities to a habitable dwelling (including all buildings or premises where people reside or work, schools and associated playgrounds, permanent sporting facilities and hospitals or other community medical facilities) in order to minimise risks identified in HHRA reports, including potential pathways for waterborne and airborne contaminants. Such setback distances should not be less than 2 km and </w:t>
            </w:r>
            <w:r w:rsidRPr="00520C23">
              <w:rPr>
                <w:i/>
                <w:iCs/>
              </w:rPr>
              <w:lastRenderedPageBreak/>
              <w:t xml:space="preserve">should apply to all exploration and production activities. </w:t>
            </w:r>
          </w:p>
        </w:tc>
        <w:tc>
          <w:tcPr>
            <w:tcW w:w="5760" w:type="dxa"/>
            <w:shd w:val="clear" w:color="auto" w:fill="auto"/>
          </w:tcPr>
          <w:p w14:paraId="57DF2184" w14:textId="35FD7384" w:rsidR="00472715" w:rsidRPr="00520C23" w:rsidRDefault="00472715" w:rsidP="00472715">
            <w:pPr>
              <w:spacing w:before="120"/>
            </w:pPr>
            <w:r w:rsidRPr="00520C23">
              <w:rPr>
                <w:rFonts w:ascii="Calibri" w:eastAsia="Calibri" w:hAnsi="Calibri" w:cs="Calibri"/>
                <w:color w:val="313131"/>
              </w:rPr>
              <w:lastRenderedPageBreak/>
              <w:t xml:space="preserve">The Northern Territory Government has worked with independent scientific experts to develop a Code of Practice relative to the Inquiry's recommendation. The Code is legally enforceable through the Petroleum (Environment) Regulations 2016. The finalised </w:t>
            </w:r>
            <w:hyperlink r:id="rId62">
              <w:r w:rsidRPr="00520C23">
                <w:rPr>
                  <w:rStyle w:val="Hyperlink"/>
                  <w:rFonts w:ascii="Calibri" w:eastAsia="Calibri" w:hAnsi="Calibri" w:cs="Calibri"/>
                </w:rPr>
                <w:t>Code</w:t>
              </w:r>
            </w:hyperlink>
            <w:r w:rsidRPr="00520C23">
              <w:rPr>
                <w:rFonts w:ascii="Calibri" w:eastAsia="Calibri" w:hAnsi="Calibri" w:cs="Calibri"/>
                <w:color w:val="313131"/>
              </w:rPr>
              <w:t xml:space="preserve"> was published on 12 June 2019.</w:t>
            </w:r>
          </w:p>
          <w:p w14:paraId="341E85A2" w14:textId="5F868857" w:rsidR="00472715" w:rsidRPr="00520C23" w:rsidRDefault="00472715" w:rsidP="00472715">
            <w:pPr>
              <w:spacing w:before="120"/>
              <w:rPr>
                <w:rFonts w:ascii="Calibri" w:eastAsia="Calibri" w:hAnsi="Calibri" w:cs="Calibri"/>
                <w:color w:val="313131"/>
              </w:rPr>
            </w:pPr>
          </w:p>
          <w:p w14:paraId="0D544045" w14:textId="5FE7DF33" w:rsidR="00472715" w:rsidRPr="00520C23" w:rsidRDefault="00472715" w:rsidP="00472715">
            <w:pPr>
              <w:spacing w:before="120"/>
            </w:pPr>
            <w:r w:rsidRPr="00520C23">
              <w:rPr>
                <w:rFonts w:ascii="Calibri" w:eastAsia="Calibri" w:hAnsi="Calibri" w:cs="Calibri"/>
                <w:color w:val="313131"/>
              </w:rPr>
              <w:t>Appropriate setback distances are enforceable via legislation. Setback distances are 2 km from a well head, pipeline or gas processing facility.</w:t>
            </w:r>
          </w:p>
        </w:tc>
        <w:tc>
          <w:tcPr>
            <w:tcW w:w="5670" w:type="dxa"/>
            <w:shd w:val="clear" w:color="auto" w:fill="auto"/>
          </w:tcPr>
          <w:p w14:paraId="7E088137" w14:textId="32875853" w:rsidR="00472715" w:rsidRPr="00520C23" w:rsidRDefault="00472715" w:rsidP="00472715">
            <w:pPr>
              <w:spacing w:before="120"/>
              <w:rPr>
                <w:rFonts w:cstheme="minorHAnsi"/>
                <w:b/>
              </w:rPr>
            </w:pPr>
            <w:r w:rsidRPr="00520C23">
              <w:rPr>
                <w:rFonts w:cstheme="minorHAnsi"/>
                <w:b/>
              </w:rPr>
              <w:t>Code of Practice</w:t>
            </w:r>
          </w:p>
          <w:p w14:paraId="0C211003" w14:textId="77777777" w:rsidR="00472715" w:rsidRPr="00520C23" w:rsidRDefault="00472715" w:rsidP="00472715">
            <w:pPr>
              <w:spacing w:before="120"/>
              <w:rPr>
                <w:rFonts w:cstheme="minorHAnsi"/>
                <w:u w:val="single"/>
              </w:rPr>
            </w:pPr>
            <w:r w:rsidRPr="00520C23">
              <w:rPr>
                <w:rFonts w:cstheme="minorHAnsi"/>
                <w:u w:val="single"/>
              </w:rPr>
              <w:t xml:space="preserve">A.3 Surface activities mandatory requirements </w:t>
            </w:r>
          </w:p>
          <w:p w14:paraId="16587A79" w14:textId="1A1439A5" w:rsidR="00472715" w:rsidRPr="00520C23" w:rsidRDefault="00472715" w:rsidP="00472715">
            <w:pPr>
              <w:spacing w:before="120"/>
              <w:rPr>
                <w:rFonts w:cstheme="minorHAnsi"/>
                <w:u w:val="single"/>
              </w:rPr>
            </w:pPr>
            <w:r w:rsidRPr="00520C23">
              <w:rPr>
                <w:rFonts w:cstheme="minorHAnsi"/>
                <w:u w:val="single"/>
              </w:rPr>
              <w:t>A.3.1 (f) Site selection and planning</w:t>
            </w:r>
          </w:p>
          <w:p w14:paraId="5B5F3884" w14:textId="77777777" w:rsidR="00472715" w:rsidRPr="00520C23" w:rsidRDefault="00472715" w:rsidP="00472715">
            <w:pPr>
              <w:numPr>
                <w:ilvl w:val="0"/>
                <w:numId w:val="5"/>
              </w:numPr>
              <w:spacing w:before="120"/>
              <w:rPr>
                <w:rFonts w:cstheme="minorHAnsi"/>
                <w:i/>
                <w:iCs/>
              </w:rPr>
            </w:pPr>
            <w:r w:rsidRPr="00520C23">
              <w:rPr>
                <w:rFonts w:cstheme="minorHAnsi"/>
                <w:i/>
                <w:iCs/>
              </w:rPr>
              <w:t xml:space="preserve">All petroleum infrastructure including, petroleum wells, pipelines and gas processing facilities must have a setback distance of at least 2km from an existing or proposed habitable dwelling including all buildings or premises where people reside or work, schools and associated playgrounds, permanent sporting facilities and hospitals or other community medical facilities. </w:t>
            </w:r>
          </w:p>
          <w:p w14:paraId="7F775600" w14:textId="49A9B2B0" w:rsidR="00472715" w:rsidRPr="00520C23" w:rsidRDefault="00472715" w:rsidP="00472715">
            <w:pPr>
              <w:spacing w:before="120"/>
              <w:rPr>
                <w:rFonts w:cstheme="minorHAnsi"/>
              </w:rPr>
            </w:pPr>
          </w:p>
        </w:tc>
        <w:tc>
          <w:tcPr>
            <w:tcW w:w="5310" w:type="dxa"/>
            <w:shd w:val="clear" w:color="auto" w:fill="E2EFD9" w:themeFill="accent6" w:themeFillTint="33"/>
          </w:tcPr>
          <w:p w14:paraId="5C9281EF" w14:textId="77777777" w:rsidR="00472715" w:rsidRPr="00520C23" w:rsidRDefault="00472715" w:rsidP="00472715">
            <w:pPr>
              <w:spacing w:before="120"/>
              <w:rPr>
                <w:rFonts w:cstheme="minorHAnsi"/>
              </w:rPr>
            </w:pPr>
            <w:r w:rsidRPr="00520C23">
              <w:rPr>
                <w:rFonts w:cstheme="minorHAnsi"/>
              </w:rPr>
              <w:t xml:space="preserve">The Code adequately addresses recommendation 10.2. </w:t>
            </w:r>
          </w:p>
          <w:p w14:paraId="316B3121" w14:textId="21AA2A2D" w:rsidR="00472715" w:rsidRPr="00520C23" w:rsidRDefault="00472715" w:rsidP="00472715">
            <w:pPr>
              <w:spacing w:before="120"/>
              <w:rPr>
                <w:rFonts w:cstheme="minorHAnsi"/>
              </w:rPr>
            </w:pPr>
            <w:r w:rsidRPr="00520C23">
              <w:rPr>
                <w:rFonts w:cstheme="minorHAnsi"/>
                <w:i/>
                <w:iCs/>
                <w:u w:val="single"/>
              </w:rPr>
              <w:t>Comments</w:t>
            </w:r>
            <w:r w:rsidRPr="00520C23">
              <w:rPr>
                <w:rFonts w:cstheme="minorHAnsi"/>
              </w:rPr>
              <w:t xml:space="preserve"> </w:t>
            </w:r>
          </w:p>
          <w:p w14:paraId="0B9A7F35" w14:textId="30B74710" w:rsidR="00472715" w:rsidRPr="00520C23" w:rsidRDefault="00472715" w:rsidP="00472715">
            <w:pPr>
              <w:pStyle w:val="ListParagraph"/>
              <w:numPr>
                <w:ilvl w:val="0"/>
                <w:numId w:val="7"/>
              </w:numPr>
              <w:spacing w:before="120"/>
              <w:rPr>
                <w:rFonts w:cstheme="minorHAnsi"/>
              </w:rPr>
            </w:pPr>
            <w:r w:rsidRPr="00520C23">
              <w:rPr>
                <w:rFonts w:cstheme="minorHAnsi"/>
              </w:rPr>
              <w:t xml:space="preserve">The recommendation would be more complete if the Code explicitly mentioned this same setback for other facilities associated with fracking that have detrimental health effects, including wastewater treatment and storage, and chemical storage areas. These facilities may be included implicitly in the “all petroleum infrastructure,” though it will be important to assess the implementation of this regulation to ensure it does. </w:t>
            </w:r>
          </w:p>
        </w:tc>
      </w:tr>
      <w:tr w:rsidR="00EA3C33" w:rsidRPr="00520C23" w14:paraId="34339ED1" w14:textId="77D851BE" w:rsidTr="00EA3C33">
        <w:tc>
          <w:tcPr>
            <w:tcW w:w="846" w:type="dxa"/>
            <w:shd w:val="clear" w:color="auto" w:fill="auto"/>
          </w:tcPr>
          <w:p w14:paraId="425F9808" w14:textId="77777777" w:rsidR="00472715" w:rsidRPr="00520C23" w:rsidRDefault="00472715" w:rsidP="00472715">
            <w:pPr>
              <w:spacing w:before="120"/>
              <w:jc w:val="center"/>
              <w:rPr>
                <w:rFonts w:cstheme="minorHAnsi"/>
              </w:rPr>
            </w:pPr>
            <w:r w:rsidRPr="00520C23">
              <w:rPr>
                <w:rFonts w:cstheme="minorHAnsi"/>
              </w:rPr>
              <w:lastRenderedPageBreak/>
              <w:t>11.1</w:t>
            </w:r>
          </w:p>
        </w:tc>
        <w:tc>
          <w:tcPr>
            <w:tcW w:w="4819" w:type="dxa"/>
            <w:shd w:val="clear" w:color="auto" w:fill="auto"/>
          </w:tcPr>
          <w:p w14:paraId="5586ECB4" w14:textId="217C08A5" w:rsidR="00472715" w:rsidRPr="00520C23" w:rsidRDefault="00472715" w:rsidP="00472715">
            <w:pPr>
              <w:spacing w:before="120"/>
              <w:rPr>
                <w:rFonts w:cstheme="minorHAnsi"/>
                <w:i/>
                <w:iCs/>
              </w:rPr>
            </w:pPr>
            <w:r w:rsidRPr="00520C23">
              <w:rPr>
                <w:rFonts w:cstheme="minorHAnsi"/>
                <w:i/>
                <w:iCs/>
              </w:rPr>
              <w:t xml:space="preserve">That gas companies be required to obtain an Authority Certificate prior to the grant of any exploration and production approvals. </w:t>
            </w:r>
          </w:p>
        </w:tc>
        <w:tc>
          <w:tcPr>
            <w:tcW w:w="5760" w:type="dxa"/>
            <w:shd w:val="clear" w:color="auto" w:fill="auto"/>
          </w:tcPr>
          <w:p w14:paraId="4BE35FD1" w14:textId="1116661B"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The Petroleum (Environmental) Regulations 2016 were amended so that from 11 June 2019 the Minister for Environment and Natural Resources cannot approve an Environment Management Plan unless an Authority Certificate under the </w:t>
            </w:r>
            <w:r w:rsidRPr="00520C23">
              <w:rPr>
                <w:rFonts w:ascii="Calibri" w:eastAsia="Calibri" w:hAnsi="Calibri" w:cs="Calibri"/>
                <w:i/>
                <w:iCs/>
                <w:color w:val="313131"/>
              </w:rPr>
              <w:t>Northern Territory Aboriginal Sacred Sites Act 1989</w:t>
            </w:r>
            <w:r w:rsidRPr="00520C23">
              <w:rPr>
                <w:rFonts w:ascii="Calibri" w:eastAsia="Calibri" w:hAnsi="Calibri" w:cs="Calibri"/>
                <w:color w:val="313131"/>
              </w:rPr>
              <w:t xml:space="preserve"> is included.</w:t>
            </w:r>
          </w:p>
        </w:tc>
        <w:tc>
          <w:tcPr>
            <w:tcW w:w="5670" w:type="dxa"/>
            <w:shd w:val="clear" w:color="auto" w:fill="auto"/>
          </w:tcPr>
          <w:p w14:paraId="3408F9A6" w14:textId="743261EB" w:rsidR="00472715" w:rsidRPr="00520C23" w:rsidRDefault="00472715" w:rsidP="00472715">
            <w:pPr>
              <w:spacing w:before="120"/>
              <w:rPr>
                <w:rFonts w:cstheme="minorHAnsi"/>
              </w:rPr>
            </w:pPr>
            <w:r w:rsidRPr="00520C23">
              <w:rPr>
                <w:rFonts w:cstheme="minorHAnsi"/>
                <w:b/>
                <w:i/>
                <w:iCs/>
              </w:rPr>
              <w:t>Petroleum (Environment) Regulations</w:t>
            </w:r>
            <w:r w:rsidRPr="00520C23">
              <w:rPr>
                <w:rFonts w:cstheme="minorHAnsi"/>
              </w:rPr>
              <w:t xml:space="preserve"> have been amended as follows:</w:t>
            </w:r>
          </w:p>
          <w:p w14:paraId="22B74E6B" w14:textId="77777777" w:rsidR="00472715" w:rsidRPr="00520C23" w:rsidRDefault="00472715" w:rsidP="00472715">
            <w:pPr>
              <w:spacing w:before="120"/>
              <w:rPr>
                <w:rFonts w:cstheme="minorHAnsi"/>
                <w:u w:val="single"/>
              </w:rPr>
            </w:pPr>
            <w:r w:rsidRPr="00520C23">
              <w:rPr>
                <w:rFonts w:cstheme="minorHAnsi"/>
                <w:u w:val="single"/>
              </w:rPr>
              <w:t xml:space="preserve">Division 2 Minister's decision about approval of environment management plan </w:t>
            </w:r>
          </w:p>
          <w:p w14:paraId="6D481DF5" w14:textId="77777777" w:rsidR="00472715" w:rsidRPr="00520C23" w:rsidRDefault="00472715" w:rsidP="00472715">
            <w:pPr>
              <w:spacing w:before="120"/>
              <w:rPr>
                <w:rFonts w:cstheme="minorHAnsi"/>
                <w:u w:val="single"/>
              </w:rPr>
            </w:pPr>
            <w:r w:rsidRPr="00520C23">
              <w:rPr>
                <w:rFonts w:cstheme="minorHAnsi"/>
                <w:u w:val="single"/>
              </w:rPr>
              <w:t xml:space="preserve">9 Approval criteria for plan </w:t>
            </w:r>
          </w:p>
          <w:p w14:paraId="3653DAF8" w14:textId="1ACA55A4" w:rsidR="00472715" w:rsidRPr="00520C23" w:rsidRDefault="00472715" w:rsidP="00472715">
            <w:pPr>
              <w:pStyle w:val="ListParagraph"/>
              <w:numPr>
                <w:ilvl w:val="0"/>
                <w:numId w:val="4"/>
              </w:numPr>
              <w:spacing w:before="120"/>
              <w:rPr>
                <w:rFonts w:cstheme="minorHAnsi"/>
                <w:i/>
                <w:iCs/>
              </w:rPr>
            </w:pPr>
            <w:r w:rsidRPr="00520C23">
              <w:rPr>
                <w:rFonts w:cstheme="minorHAnsi"/>
                <w:i/>
                <w:iCs/>
              </w:rPr>
              <w:t xml:space="preserve">The </w:t>
            </w:r>
            <w:r w:rsidRPr="00520C23">
              <w:rPr>
                <w:rFonts w:cstheme="minorHAnsi"/>
                <w:b/>
                <w:bCs/>
                <w:i/>
                <w:iCs/>
              </w:rPr>
              <w:t xml:space="preserve">approval criteria </w:t>
            </w:r>
            <w:r w:rsidRPr="00520C23">
              <w:rPr>
                <w:rFonts w:cstheme="minorHAnsi"/>
                <w:i/>
                <w:iCs/>
              </w:rPr>
              <w:t>for an environment management plan are that the plan must:</w:t>
            </w:r>
            <w:r w:rsidRPr="00520C23">
              <w:rPr>
                <w:rFonts w:cstheme="minorHAnsi"/>
                <w:i/>
                <w:iCs/>
                <w:color w:val="000000"/>
              </w:rPr>
              <w:t xml:space="preserve"> </w:t>
            </w:r>
          </w:p>
          <w:p w14:paraId="350F8D4C" w14:textId="5F6EBCF5" w:rsidR="00472715" w:rsidRPr="00520C23" w:rsidRDefault="00472715" w:rsidP="00472715">
            <w:pPr>
              <w:pStyle w:val="ListParagraph"/>
              <w:spacing w:before="120"/>
              <w:rPr>
                <w:rFonts w:cstheme="minorHAnsi"/>
              </w:rPr>
            </w:pPr>
            <w:r w:rsidRPr="00520C23">
              <w:rPr>
                <w:rFonts w:cstheme="minorHAnsi"/>
                <w:i/>
                <w:iCs/>
              </w:rPr>
              <w:t>(d) include an Authority Certificate in relation to the land on which the activity will be carried out.</w:t>
            </w:r>
          </w:p>
        </w:tc>
        <w:tc>
          <w:tcPr>
            <w:tcW w:w="5310" w:type="dxa"/>
            <w:shd w:val="clear" w:color="auto" w:fill="E2EFD9" w:themeFill="accent6" w:themeFillTint="33"/>
          </w:tcPr>
          <w:p w14:paraId="7D49A5CD" w14:textId="1F3FAA6D" w:rsidR="00472715" w:rsidRPr="00520C23" w:rsidRDefault="00472715" w:rsidP="00472715">
            <w:pPr>
              <w:spacing w:before="120"/>
              <w:rPr>
                <w:rFonts w:cstheme="minorHAnsi"/>
              </w:rPr>
            </w:pPr>
            <w:r w:rsidRPr="00520C23">
              <w:rPr>
                <w:rFonts w:cstheme="minorHAnsi"/>
              </w:rPr>
              <w:t xml:space="preserve">The PER adequately addresses recommendation 11.1. </w:t>
            </w:r>
          </w:p>
          <w:p w14:paraId="6879C78D" w14:textId="434A077F" w:rsidR="00472715" w:rsidRPr="00520C23" w:rsidRDefault="00472715" w:rsidP="00472715">
            <w:pPr>
              <w:spacing w:before="120"/>
              <w:rPr>
                <w:rFonts w:cstheme="minorHAnsi"/>
                <w:i/>
                <w:iCs/>
                <w:u w:val="single"/>
              </w:rPr>
            </w:pPr>
            <w:r w:rsidRPr="00520C23">
              <w:rPr>
                <w:rFonts w:cstheme="minorHAnsi"/>
                <w:i/>
                <w:iCs/>
                <w:u w:val="single"/>
              </w:rPr>
              <w:t>Comments</w:t>
            </w:r>
          </w:p>
          <w:p w14:paraId="6E9E27C7" w14:textId="4587AA89" w:rsidR="00472715" w:rsidRPr="00520C23" w:rsidRDefault="00472715" w:rsidP="00472715">
            <w:pPr>
              <w:pStyle w:val="ListParagraph"/>
              <w:numPr>
                <w:ilvl w:val="0"/>
                <w:numId w:val="7"/>
              </w:numPr>
              <w:spacing w:before="120"/>
              <w:rPr>
                <w:rFonts w:cstheme="minorHAnsi"/>
              </w:rPr>
            </w:pPr>
            <w:r w:rsidRPr="00520C23">
              <w:rPr>
                <w:rFonts w:cstheme="minorHAnsi"/>
              </w:rPr>
              <w:t xml:space="preserve">Stop the clock provisions should be mandated. </w:t>
            </w:r>
          </w:p>
        </w:tc>
      </w:tr>
      <w:tr w:rsidR="00EA3C33" w:rsidRPr="00520C23" w14:paraId="7F9519C7" w14:textId="77777777" w:rsidTr="00EA3C33">
        <w:tc>
          <w:tcPr>
            <w:tcW w:w="846" w:type="dxa"/>
            <w:shd w:val="clear" w:color="auto" w:fill="auto"/>
          </w:tcPr>
          <w:p w14:paraId="62F63915" w14:textId="18E8AA77" w:rsidR="00472715" w:rsidRPr="00520C23" w:rsidRDefault="00472715" w:rsidP="00472715">
            <w:pPr>
              <w:spacing w:before="120"/>
              <w:jc w:val="center"/>
              <w:rPr>
                <w:rFonts w:cstheme="minorHAnsi"/>
              </w:rPr>
            </w:pPr>
            <w:r w:rsidRPr="00520C23">
              <w:rPr>
                <w:rFonts w:cstheme="minorHAnsi"/>
              </w:rPr>
              <w:t>11.2</w:t>
            </w:r>
          </w:p>
        </w:tc>
        <w:tc>
          <w:tcPr>
            <w:tcW w:w="4819" w:type="dxa"/>
            <w:shd w:val="clear" w:color="auto" w:fill="auto"/>
          </w:tcPr>
          <w:p w14:paraId="5094C884" w14:textId="77777777" w:rsidR="00472715" w:rsidRPr="00520C23" w:rsidRDefault="00472715" w:rsidP="00472715">
            <w:pPr>
              <w:spacing w:before="120"/>
              <w:rPr>
                <w:rFonts w:cstheme="minorHAnsi"/>
                <w:i/>
                <w:iCs/>
              </w:rPr>
            </w:pPr>
            <w:r w:rsidRPr="00520C23">
              <w:rPr>
                <w:rFonts w:cstheme="minorHAnsi"/>
                <w:i/>
                <w:iCs/>
              </w:rPr>
              <w:t>That the Aboriginal Areas Protection Authority:</w:t>
            </w:r>
          </w:p>
          <w:p w14:paraId="76DD436C" w14:textId="77777777" w:rsidR="00472715" w:rsidRPr="00520C23" w:rsidRDefault="00472715" w:rsidP="00472715">
            <w:pPr>
              <w:numPr>
                <w:ilvl w:val="0"/>
                <w:numId w:val="37"/>
              </w:numPr>
              <w:spacing w:before="120"/>
              <w:rPr>
                <w:rFonts w:cstheme="minorHAnsi"/>
                <w:i/>
                <w:iCs/>
              </w:rPr>
            </w:pPr>
            <w:r w:rsidRPr="00520C23">
              <w:rPr>
                <w:rFonts w:cstheme="minorHAnsi"/>
                <w:i/>
                <w:iCs/>
              </w:rPr>
              <w:t>be provided with a copy of any application to conduct hydraulic fracturing for onshore shale gas under petroleum environment legislation at an early stage of the assessment and approval process;</w:t>
            </w:r>
          </w:p>
          <w:p w14:paraId="21706D6A" w14:textId="77777777" w:rsidR="00472715" w:rsidRPr="00520C23" w:rsidRDefault="00472715" w:rsidP="00472715">
            <w:pPr>
              <w:numPr>
                <w:ilvl w:val="0"/>
                <w:numId w:val="37"/>
              </w:numPr>
              <w:spacing w:before="120"/>
              <w:rPr>
                <w:rFonts w:cstheme="minorHAnsi"/>
                <w:i/>
                <w:iCs/>
              </w:rPr>
            </w:pPr>
            <w:r w:rsidRPr="00520C23">
              <w:rPr>
                <w:rFonts w:cstheme="minorHAnsi"/>
                <w:i/>
                <w:iCs/>
              </w:rPr>
              <w:t>be given an adequate opportunity to explain the application to custodians; and</w:t>
            </w:r>
          </w:p>
          <w:p w14:paraId="712233A0" w14:textId="77777777" w:rsidR="00472715" w:rsidRPr="00520C23" w:rsidRDefault="00472715" w:rsidP="00472715">
            <w:pPr>
              <w:numPr>
                <w:ilvl w:val="0"/>
                <w:numId w:val="37"/>
              </w:numPr>
              <w:spacing w:before="120"/>
              <w:rPr>
                <w:rFonts w:cstheme="minorHAnsi"/>
                <w:i/>
                <w:iCs/>
              </w:rPr>
            </w:pPr>
            <w:r w:rsidRPr="00520C23">
              <w:rPr>
                <w:rFonts w:cstheme="minorHAnsi"/>
                <w:i/>
                <w:iCs/>
              </w:rPr>
              <w:t>be given an adequate opportunity to comment on the application and have those comments considered by the decision-maker.</w:t>
            </w:r>
          </w:p>
          <w:p w14:paraId="1AF8BC6A" w14:textId="77777777" w:rsidR="00472715" w:rsidRPr="00520C23" w:rsidRDefault="00472715" w:rsidP="00472715">
            <w:pPr>
              <w:spacing w:before="120"/>
              <w:rPr>
                <w:rFonts w:cstheme="minorHAnsi"/>
                <w:i/>
                <w:iCs/>
              </w:rPr>
            </w:pPr>
          </w:p>
        </w:tc>
        <w:tc>
          <w:tcPr>
            <w:tcW w:w="5760" w:type="dxa"/>
            <w:shd w:val="clear" w:color="auto" w:fill="auto"/>
          </w:tcPr>
          <w:p w14:paraId="10D5D311" w14:textId="77777777" w:rsidR="00472715" w:rsidRPr="00520C23" w:rsidRDefault="00472715" w:rsidP="00472715">
            <w:pPr>
              <w:rPr>
                <w:rFonts w:cstheme="minorHAnsi"/>
              </w:rPr>
            </w:pPr>
            <w:r w:rsidRPr="00520C23">
              <w:rPr>
                <w:rFonts w:cstheme="minorHAnsi"/>
              </w:rPr>
              <w:t>Recommendation 11.2 of the Inquiry requires the Authority to gain an understanding of and comment on the proposed Hydraulic Fracturing activities, consult custodians on the proposals and provide comments to the relevant decision maker.</w:t>
            </w:r>
          </w:p>
          <w:p w14:paraId="760EF76F" w14:textId="77777777" w:rsidR="00472715" w:rsidRPr="00520C23" w:rsidRDefault="00472715" w:rsidP="00472715">
            <w:pPr>
              <w:rPr>
                <w:rFonts w:cstheme="minorHAnsi"/>
              </w:rPr>
            </w:pPr>
          </w:p>
          <w:p w14:paraId="3737495F" w14:textId="77777777" w:rsidR="00472715" w:rsidRPr="00520C23" w:rsidRDefault="00472715" w:rsidP="00472715">
            <w:pPr>
              <w:rPr>
                <w:rFonts w:cstheme="minorHAnsi"/>
              </w:rPr>
            </w:pPr>
            <w:r w:rsidRPr="00520C23">
              <w:rPr>
                <w:rFonts w:cstheme="minorHAnsi"/>
              </w:rPr>
              <w:t>This will take place in connection with Environment Management Plans (EMP) and Environmental Impact Statements (EIS). Aboriginal Areas Protection Authority and the Department of Environment, Parks and Water Security continue to monitor and work on processes with regular reviews to ensure appropriate outcomes are achieved.”</w:t>
            </w:r>
          </w:p>
          <w:p w14:paraId="5F0698A7" w14:textId="77777777" w:rsidR="00472715" w:rsidRPr="00520C23" w:rsidRDefault="00472715" w:rsidP="00472715">
            <w:pPr>
              <w:rPr>
                <w:rFonts w:cstheme="minorHAnsi"/>
              </w:rPr>
            </w:pPr>
          </w:p>
          <w:p w14:paraId="1B1B2207" w14:textId="7B1A3762" w:rsidR="00472715" w:rsidRPr="00520C23" w:rsidRDefault="00472715" w:rsidP="00472715">
            <w:pPr>
              <w:rPr>
                <w:rFonts w:cstheme="minorHAnsi"/>
              </w:rPr>
            </w:pPr>
          </w:p>
          <w:p w14:paraId="5360E38E" w14:textId="77777777" w:rsidR="00472715" w:rsidRPr="00520C23" w:rsidRDefault="00472715" w:rsidP="00472715">
            <w:pPr>
              <w:spacing w:before="120"/>
              <w:rPr>
                <w:rFonts w:cstheme="minorHAnsi"/>
                <w:b/>
                <w:i/>
                <w:iCs/>
              </w:rPr>
            </w:pPr>
          </w:p>
        </w:tc>
        <w:tc>
          <w:tcPr>
            <w:tcW w:w="5670" w:type="dxa"/>
            <w:shd w:val="clear" w:color="auto" w:fill="auto"/>
          </w:tcPr>
          <w:p w14:paraId="4706AF81" w14:textId="77777777" w:rsidR="00472715" w:rsidRPr="00520C23" w:rsidRDefault="00472715" w:rsidP="00472715">
            <w:pPr>
              <w:spacing w:before="120"/>
              <w:rPr>
                <w:rFonts w:cstheme="minorHAnsi"/>
                <w:b/>
                <w:i/>
                <w:iCs/>
              </w:rPr>
            </w:pPr>
          </w:p>
        </w:tc>
        <w:tc>
          <w:tcPr>
            <w:tcW w:w="5310" w:type="dxa"/>
            <w:shd w:val="clear" w:color="auto" w:fill="FFF2CC" w:themeFill="accent4" w:themeFillTint="33"/>
          </w:tcPr>
          <w:p w14:paraId="6687B76F" w14:textId="644B74EB" w:rsidR="00472715" w:rsidRPr="00520C23" w:rsidRDefault="00472715" w:rsidP="00472715">
            <w:pPr>
              <w:spacing w:before="120"/>
              <w:rPr>
                <w:rFonts w:cstheme="minorHAnsi"/>
              </w:rPr>
            </w:pPr>
            <w:r w:rsidRPr="00520C23">
              <w:rPr>
                <w:rFonts w:cstheme="minorHAnsi"/>
              </w:rPr>
              <w:t>The only way to assess completion of this recommendation is through a case-by-case approach.</w:t>
            </w:r>
          </w:p>
        </w:tc>
      </w:tr>
      <w:tr w:rsidR="00EA3C33" w:rsidRPr="00520C23" w14:paraId="15E21F98" w14:textId="77777777" w:rsidTr="00EA3C33">
        <w:tc>
          <w:tcPr>
            <w:tcW w:w="846" w:type="dxa"/>
            <w:shd w:val="clear" w:color="auto" w:fill="auto"/>
          </w:tcPr>
          <w:p w14:paraId="7FFC84D2" w14:textId="7AFB105B" w:rsidR="00472715" w:rsidRPr="00520C23" w:rsidRDefault="00472715" w:rsidP="00472715">
            <w:pPr>
              <w:spacing w:before="120"/>
              <w:jc w:val="center"/>
              <w:rPr>
                <w:rFonts w:cstheme="minorHAnsi"/>
              </w:rPr>
            </w:pPr>
            <w:r w:rsidRPr="00520C23">
              <w:rPr>
                <w:rFonts w:cstheme="minorHAnsi"/>
              </w:rPr>
              <w:t>11.3</w:t>
            </w:r>
          </w:p>
        </w:tc>
        <w:tc>
          <w:tcPr>
            <w:tcW w:w="4819" w:type="dxa"/>
            <w:shd w:val="clear" w:color="auto" w:fill="auto"/>
          </w:tcPr>
          <w:p w14:paraId="15805CD6" w14:textId="573D0A0A" w:rsidR="00472715" w:rsidRPr="00520C23" w:rsidRDefault="00472715" w:rsidP="00472715">
            <w:pPr>
              <w:spacing w:before="120"/>
              <w:rPr>
                <w:rFonts w:cstheme="minorHAnsi"/>
                <w:i/>
                <w:iCs/>
              </w:rPr>
            </w:pPr>
            <w:r w:rsidRPr="00520C23">
              <w:rPr>
                <w:rFonts w:cstheme="minorHAnsi"/>
                <w:i/>
                <w:iCs/>
              </w:rPr>
              <w:t>That the Sacred Sites Act be amended to protect all sub-surface features of a sacred site.</w:t>
            </w:r>
          </w:p>
        </w:tc>
        <w:tc>
          <w:tcPr>
            <w:tcW w:w="5760" w:type="dxa"/>
            <w:shd w:val="clear" w:color="auto" w:fill="auto"/>
          </w:tcPr>
          <w:p w14:paraId="6EFD6C1C" w14:textId="77777777" w:rsidR="00472715" w:rsidRPr="00520C23" w:rsidRDefault="00472715" w:rsidP="00472715">
            <w:pPr>
              <w:rPr>
                <w:rFonts w:cstheme="minorHAnsi"/>
              </w:rPr>
            </w:pPr>
            <w:r w:rsidRPr="00520C23">
              <w:rPr>
                <w:rFonts w:cstheme="minorHAnsi"/>
              </w:rPr>
              <w:t>The Aboriginal Areas Protection Authority received legal advice on the extent of protection to sub-surface sites provided by the Northern Territory </w:t>
            </w:r>
            <w:r w:rsidRPr="00520C23">
              <w:rPr>
                <w:rFonts w:cstheme="minorHAnsi"/>
                <w:i/>
                <w:iCs/>
              </w:rPr>
              <w:t>Aboriginal Sacred Sites Act 1989</w:t>
            </w:r>
            <w:r w:rsidRPr="00520C23">
              <w:rPr>
                <w:rFonts w:cstheme="minorHAnsi"/>
              </w:rPr>
              <w:t>.</w:t>
            </w:r>
          </w:p>
          <w:p w14:paraId="0B295248" w14:textId="77777777" w:rsidR="00472715" w:rsidRPr="00520C23" w:rsidRDefault="00472715" w:rsidP="00472715">
            <w:pPr>
              <w:rPr>
                <w:rFonts w:cstheme="minorHAnsi"/>
              </w:rPr>
            </w:pPr>
            <w:r w:rsidRPr="00520C23">
              <w:rPr>
                <w:rFonts w:cstheme="minorHAnsi"/>
              </w:rPr>
              <w:t>This advice was considered by the Aboriginal Areas Protection Authority and the Authority consulted with the relevant Land Councils. It was determined that no amendments are required to the </w:t>
            </w:r>
            <w:r w:rsidRPr="00520C23">
              <w:rPr>
                <w:rFonts w:cstheme="minorHAnsi"/>
                <w:i/>
                <w:iCs/>
              </w:rPr>
              <w:t>Aboriginal Sacred Sites Act 1989</w:t>
            </w:r>
            <w:r w:rsidRPr="00520C23">
              <w:rPr>
                <w:rFonts w:cstheme="minorHAnsi"/>
              </w:rPr>
              <w:t> to protect sub-surface features.</w:t>
            </w:r>
          </w:p>
          <w:p w14:paraId="78762A9F" w14:textId="77777777" w:rsidR="00472715" w:rsidRPr="00520C23" w:rsidRDefault="00472715" w:rsidP="00472715">
            <w:pPr>
              <w:rPr>
                <w:rFonts w:cstheme="minorHAnsi"/>
              </w:rPr>
            </w:pPr>
          </w:p>
        </w:tc>
        <w:tc>
          <w:tcPr>
            <w:tcW w:w="5670" w:type="dxa"/>
            <w:shd w:val="clear" w:color="auto" w:fill="auto"/>
          </w:tcPr>
          <w:p w14:paraId="684E0E65" w14:textId="47C910B7" w:rsidR="00472715" w:rsidRPr="00520C23" w:rsidRDefault="00472715" w:rsidP="00472715">
            <w:pPr>
              <w:spacing w:before="120"/>
              <w:rPr>
                <w:rFonts w:cstheme="minorHAnsi"/>
                <w:bCs/>
              </w:rPr>
            </w:pPr>
            <w:r w:rsidRPr="00520C23">
              <w:rPr>
                <w:rFonts w:cstheme="minorHAnsi"/>
                <w:bCs/>
              </w:rPr>
              <w:t xml:space="preserve">The government has opted not to implement this recommendation.  </w:t>
            </w:r>
          </w:p>
        </w:tc>
        <w:tc>
          <w:tcPr>
            <w:tcW w:w="5310" w:type="dxa"/>
            <w:shd w:val="clear" w:color="auto" w:fill="FED6D6"/>
          </w:tcPr>
          <w:p w14:paraId="3258C79D" w14:textId="297A526B" w:rsidR="00472715" w:rsidRPr="00520C23" w:rsidRDefault="00472715" w:rsidP="00472715">
            <w:pPr>
              <w:spacing w:before="120"/>
              <w:rPr>
                <w:rFonts w:cstheme="minorHAnsi"/>
              </w:rPr>
            </w:pPr>
            <w:r w:rsidRPr="00520C23">
              <w:rPr>
                <w:rFonts w:cstheme="minorHAnsi"/>
              </w:rPr>
              <w:t xml:space="preserve">This recommendation has intentionally not been implemented. </w:t>
            </w:r>
          </w:p>
          <w:p w14:paraId="41F57150" w14:textId="47E0EFF3" w:rsidR="00472715" w:rsidRPr="00520C23" w:rsidRDefault="00472715" w:rsidP="00472715">
            <w:pPr>
              <w:spacing w:before="120"/>
              <w:rPr>
                <w:rFonts w:cstheme="minorHAnsi"/>
                <w:i/>
                <w:iCs/>
                <w:u w:val="single"/>
              </w:rPr>
            </w:pPr>
            <w:r w:rsidRPr="00520C23">
              <w:rPr>
                <w:rFonts w:cstheme="minorHAnsi"/>
                <w:i/>
                <w:iCs/>
                <w:u w:val="single"/>
              </w:rPr>
              <w:t>Comments</w:t>
            </w:r>
          </w:p>
          <w:p w14:paraId="5A370C59" w14:textId="079320AA" w:rsidR="00472715" w:rsidRPr="00520C23" w:rsidRDefault="00472715" w:rsidP="00472715">
            <w:pPr>
              <w:spacing w:before="120"/>
              <w:rPr>
                <w:rFonts w:cstheme="minorHAnsi"/>
              </w:rPr>
            </w:pPr>
            <w:r w:rsidRPr="00520C23">
              <w:rPr>
                <w:rFonts w:cstheme="minorHAnsi"/>
              </w:rPr>
              <w:t xml:space="preserve">The NT government did not identify an alternative way of protecting sub-surface features of sacred sites. As such, it does not seem like the Inquiry’s concerns that led up to Recommendation 11.3 have been addressed. </w:t>
            </w:r>
          </w:p>
          <w:p w14:paraId="158B239E" w14:textId="1AA9C1E5" w:rsidR="00472715" w:rsidRPr="00520C23" w:rsidRDefault="00472715" w:rsidP="00472715">
            <w:pPr>
              <w:spacing w:before="120"/>
              <w:rPr>
                <w:rFonts w:cstheme="minorHAnsi"/>
              </w:rPr>
            </w:pPr>
            <w:r w:rsidRPr="00520C23">
              <w:rPr>
                <w:rFonts w:cstheme="minorHAnsi"/>
              </w:rPr>
              <w:t>The Fracking Inquiry Final Report at 285-86 states: “</w:t>
            </w:r>
            <w:r w:rsidRPr="00520C23">
              <w:rPr>
                <w:rFonts w:cstheme="minorHAnsi"/>
                <w:i/>
                <w:iCs/>
              </w:rPr>
              <w:t>The Panel’s strong view is that it should be put beyond doubt that features of a sacred site, and sacred sites themselves, can be underground, and must be protected. … Having regard to the support for this recommendation received by the Panel, including in the course of community consultations, the Panel has retained Recommendation 11.3, but notes that the usual practice of stakeholder engagement should take place before initiating changes to legislation</w:t>
            </w:r>
            <w:r w:rsidRPr="00520C23">
              <w:rPr>
                <w:rFonts w:cstheme="minorHAnsi"/>
              </w:rPr>
              <w:t xml:space="preserve">.” </w:t>
            </w:r>
          </w:p>
        </w:tc>
      </w:tr>
      <w:tr w:rsidR="00EA3C33" w:rsidRPr="00520C23" w14:paraId="3FAB7538" w14:textId="77777777" w:rsidTr="00EA3C33">
        <w:tc>
          <w:tcPr>
            <w:tcW w:w="846" w:type="dxa"/>
            <w:shd w:val="clear" w:color="auto" w:fill="auto"/>
          </w:tcPr>
          <w:p w14:paraId="5D4D16EB" w14:textId="1815E49F" w:rsidR="00472715" w:rsidRPr="00520C23" w:rsidRDefault="00472715" w:rsidP="00472715">
            <w:pPr>
              <w:spacing w:before="120"/>
              <w:jc w:val="center"/>
              <w:rPr>
                <w:rFonts w:cstheme="minorHAnsi"/>
              </w:rPr>
            </w:pPr>
            <w:r w:rsidRPr="00520C23">
              <w:rPr>
                <w:rFonts w:cstheme="minorHAnsi"/>
              </w:rPr>
              <w:t>11.4</w:t>
            </w:r>
          </w:p>
        </w:tc>
        <w:tc>
          <w:tcPr>
            <w:tcW w:w="4819" w:type="dxa"/>
            <w:shd w:val="clear" w:color="auto" w:fill="auto"/>
          </w:tcPr>
          <w:p w14:paraId="71752610" w14:textId="43E7DEB9" w:rsidR="00472715" w:rsidRPr="00520C23" w:rsidRDefault="00472715" w:rsidP="00472715">
            <w:pPr>
              <w:spacing w:before="120"/>
              <w:rPr>
                <w:rFonts w:cstheme="minorHAnsi"/>
                <w:i/>
                <w:iCs/>
              </w:rPr>
            </w:pPr>
            <w:r w:rsidRPr="00520C23">
              <w:rPr>
                <w:rFonts w:cstheme="minorHAnsi"/>
                <w:i/>
                <w:iCs/>
              </w:rPr>
              <w:t xml:space="preserve">That gas companies be required to provide a statement to native title holders containing information of the kind required under section 41(6) of the Land Rights Act for the purposes of </w:t>
            </w:r>
            <w:r w:rsidRPr="00520C23">
              <w:rPr>
                <w:rFonts w:cstheme="minorHAnsi"/>
                <w:i/>
                <w:iCs/>
              </w:rPr>
              <w:lastRenderedPageBreak/>
              <w:t>negotiating an onshore shale gas exploration agreement under the future act provisions of the Native Title Act.</w:t>
            </w:r>
          </w:p>
        </w:tc>
        <w:tc>
          <w:tcPr>
            <w:tcW w:w="5760" w:type="dxa"/>
            <w:shd w:val="clear" w:color="auto" w:fill="auto"/>
          </w:tcPr>
          <w:p w14:paraId="511A761F" w14:textId="1A1FF93B" w:rsidR="00472715" w:rsidRPr="00520C23" w:rsidRDefault="00472715" w:rsidP="00472715">
            <w:pPr>
              <w:rPr>
                <w:rFonts w:cstheme="minorHAnsi"/>
              </w:rPr>
            </w:pPr>
            <w:r w:rsidRPr="00520C23">
              <w:rPr>
                <w:rFonts w:cstheme="minorHAnsi"/>
              </w:rPr>
              <w:lastRenderedPageBreak/>
              <w:t xml:space="preserve">The Northern Territory Government has updated its </w:t>
            </w:r>
            <w:hyperlink r:id="rId63" w:history="1">
              <w:r w:rsidRPr="00520C23">
                <w:rPr>
                  <w:rStyle w:val="Hyperlink"/>
                  <w:rFonts w:cstheme="minorHAnsi"/>
                </w:rPr>
                <w:t>Petroleum Exploration Permit Application and Conditions guideline</w:t>
              </w:r>
            </w:hyperlink>
            <w:r w:rsidRPr="00520C23">
              <w:rPr>
                <w:rFonts w:cstheme="minorHAnsi"/>
              </w:rPr>
              <w:t xml:space="preserve"> to reflect the requirement for petroleum companies seeking to negotiate an exploration agreement on Native Title Land, to provide a statement to native title claimants in </w:t>
            </w:r>
            <w:r w:rsidRPr="00520C23">
              <w:rPr>
                <w:rFonts w:cstheme="minorHAnsi"/>
              </w:rPr>
              <w:lastRenderedPageBreak/>
              <w:t>line with the provisions of section 41(6) of the </w:t>
            </w:r>
            <w:r w:rsidRPr="00520C23">
              <w:rPr>
                <w:rFonts w:cstheme="minorHAnsi"/>
                <w:i/>
                <w:iCs/>
              </w:rPr>
              <w:t>Aboriginal Land Rights Act 1976</w:t>
            </w:r>
            <w:r w:rsidRPr="00520C23">
              <w:rPr>
                <w:rFonts w:cstheme="minorHAnsi"/>
              </w:rPr>
              <w:t xml:space="preserve"> regarding potential future exploration activity. </w:t>
            </w:r>
            <w:r w:rsidRPr="00520C23">
              <w:rPr>
                <w:rFonts w:cstheme="minorHAnsi"/>
                <w:b/>
              </w:rPr>
              <w:t>This will ensure native title claimants have a clear understanding of the nature of the potential future exploration activity.</w:t>
            </w:r>
          </w:p>
          <w:p w14:paraId="185F7EDF" w14:textId="77777777" w:rsidR="00472715" w:rsidRPr="00520C23" w:rsidRDefault="00472715" w:rsidP="00472715">
            <w:pPr>
              <w:rPr>
                <w:rFonts w:cstheme="minorHAnsi"/>
              </w:rPr>
            </w:pPr>
          </w:p>
          <w:p w14:paraId="7F326198" w14:textId="57CE1744" w:rsidR="00472715" w:rsidRPr="00520C23" w:rsidRDefault="00472715" w:rsidP="00472715">
            <w:pPr>
              <w:rPr>
                <w:rFonts w:cstheme="minorHAnsi"/>
              </w:rPr>
            </w:pPr>
            <w:r w:rsidRPr="00520C23">
              <w:rPr>
                <w:rFonts w:cstheme="minorHAnsi"/>
              </w:rPr>
              <w:t>The </w:t>
            </w:r>
            <w:r w:rsidRPr="00520C23">
              <w:rPr>
                <w:rFonts w:cstheme="minorHAnsi"/>
                <w:i/>
                <w:iCs/>
              </w:rPr>
              <w:t>Aboriginal Land Rights Act 1976</w:t>
            </w:r>
            <w:r w:rsidRPr="00520C23">
              <w:rPr>
                <w:rFonts w:cstheme="minorHAnsi"/>
              </w:rPr>
              <w:t> s41(6) details in a very prescriptive nature the information that is required to be provided by petroleum companies (regarding potential exploration activities) to both inform and commence negotiating an exploration permit with Traditional Owners on Aboriginal Land.</w:t>
            </w:r>
          </w:p>
          <w:p w14:paraId="795FB50D" w14:textId="77777777" w:rsidR="00472715" w:rsidRPr="00520C23" w:rsidRDefault="00472715" w:rsidP="00472715">
            <w:pPr>
              <w:rPr>
                <w:rFonts w:cstheme="minorHAnsi"/>
              </w:rPr>
            </w:pPr>
          </w:p>
          <w:p w14:paraId="4AD6F85B" w14:textId="2292EB75" w:rsidR="00472715" w:rsidRPr="00520C23" w:rsidRDefault="00472715" w:rsidP="00472715">
            <w:pPr>
              <w:rPr>
                <w:rFonts w:cstheme="minorHAnsi"/>
              </w:rPr>
            </w:pPr>
            <w:r w:rsidRPr="00520C23">
              <w:rPr>
                <w:rFonts w:cstheme="minorHAnsi"/>
              </w:rPr>
              <w:t>The </w:t>
            </w:r>
            <w:r w:rsidRPr="00520C23">
              <w:rPr>
                <w:rFonts w:cstheme="minorHAnsi"/>
                <w:i/>
                <w:iCs/>
              </w:rPr>
              <w:t>Native Title Act 1998</w:t>
            </w:r>
            <w:r w:rsidRPr="00520C23">
              <w:rPr>
                <w:rFonts w:cstheme="minorHAnsi"/>
              </w:rPr>
              <w:t> is Commonwealth legislation and cannot be amended by the Northern Territory Government.</w:t>
            </w:r>
          </w:p>
          <w:p w14:paraId="364214D8" w14:textId="77777777" w:rsidR="00472715" w:rsidRPr="00520C23" w:rsidRDefault="00472715" w:rsidP="00472715">
            <w:pPr>
              <w:rPr>
                <w:rFonts w:cstheme="minorHAnsi"/>
              </w:rPr>
            </w:pPr>
          </w:p>
        </w:tc>
        <w:tc>
          <w:tcPr>
            <w:tcW w:w="5670" w:type="dxa"/>
            <w:shd w:val="clear" w:color="auto" w:fill="auto"/>
          </w:tcPr>
          <w:p w14:paraId="46672B81" w14:textId="77777777" w:rsidR="00472715" w:rsidRPr="00520C23" w:rsidRDefault="00472715" w:rsidP="00472715">
            <w:pPr>
              <w:spacing w:before="120"/>
              <w:rPr>
                <w:rFonts w:cstheme="minorHAnsi"/>
                <w:bCs/>
              </w:rPr>
            </w:pPr>
            <w:r w:rsidRPr="00520C23">
              <w:rPr>
                <w:rFonts w:cstheme="minorHAnsi"/>
                <w:b/>
              </w:rPr>
              <w:lastRenderedPageBreak/>
              <w:t>Petroleum Act 1984</w:t>
            </w:r>
            <w:r w:rsidRPr="00520C23">
              <w:rPr>
                <w:rFonts w:cstheme="minorHAnsi"/>
                <w:bCs/>
              </w:rPr>
              <w:t xml:space="preserve"> </w:t>
            </w:r>
          </w:p>
          <w:p w14:paraId="5E0E48F7" w14:textId="0F0F003C" w:rsidR="00472715" w:rsidRPr="00520C23" w:rsidRDefault="00472715" w:rsidP="00472715">
            <w:pPr>
              <w:spacing w:before="120"/>
              <w:rPr>
                <w:rFonts w:cstheme="minorHAnsi"/>
                <w:bCs/>
                <w:u w:val="single"/>
              </w:rPr>
            </w:pPr>
            <w:r w:rsidRPr="00520C23">
              <w:rPr>
                <w:rFonts w:cstheme="minorHAnsi"/>
                <w:bCs/>
                <w:u w:val="single"/>
              </w:rPr>
              <w:t>s. 57F</w:t>
            </w:r>
          </w:p>
          <w:p w14:paraId="651210E2" w14:textId="77777777" w:rsidR="00472715" w:rsidRPr="00520C23" w:rsidRDefault="00472715" w:rsidP="00472715">
            <w:pPr>
              <w:spacing w:before="120"/>
              <w:rPr>
                <w:rFonts w:cstheme="minorHAnsi"/>
                <w:bCs/>
              </w:rPr>
            </w:pPr>
            <w:r w:rsidRPr="00520C23">
              <w:rPr>
                <w:rFonts w:cstheme="minorHAnsi"/>
                <w:bCs/>
              </w:rPr>
              <w:t>Notification of native title holders etc.</w:t>
            </w:r>
          </w:p>
          <w:p w14:paraId="011E9030" w14:textId="77777777" w:rsidR="00472715" w:rsidRPr="00520C23" w:rsidRDefault="00472715" w:rsidP="00472715">
            <w:pPr>
              <w:spacing w:before="120"/>
              <w:rPr>
                <w:rFonts w:cstheme="minorHAnsi"/>
                <w:bCs/>
                <w:i/>
                <w:iCs/>
              </w:rPr>
            </w:pPr>
            <w:r w:rsidRPr="00520C23">
              <w:rPr>
                <w:rFonts w:cstheme="minorHAnsi"/>
                <w:bCs/>
              </w:rPr>
              <w:lastRenderedPageBreak/>
              <w:t xml:space="preserve"> </w:t>
            </w:r>
            <w:r w:rsidRPr="00520C23">
              <w:rPr>
                <w:rFonts w:cstheme="minorHAnsi"/>
                <w:bCs/>
                <w:i/>
                <w:iCs/>
              </w:rPr>
              <w:t xml:space="preserve">   (1)     Within 14 days after the notification event or within the further time allowed in writing by the Minister:</w:t>
            </w:r>
          </w:p>
          <w:p w14:paraId="453AB612" w14:textId="77777777" w:rsidR="00472715" w:rsidRPr="00520C23" w:rsidRDefault="00472715" w:rsidP="00472715">
            <w:pPr>
              <w:spacing w:before="120"/>
              <w:rPr>
                <w:rFonts w:cstheme="minorHAnsi"/>
                <w:bCs/>
                <w:i/>
                <w:iCs/>
              </w:rPr>
            </w:pPr>
            <w:r w:rsidRPr="00520C23">
              <w:rPr>
                <w:rFonts w:cstheme="minorHAnsi"/>
                <w:bCs/>
                <w:i/>
                <w:iCs/>
              </w:rPr>
              <w:t xml:space="preserve">        (a)     if the prescribed petroleum act is an act to which section 24MD(6B) of the Native Title Act applies – the Minister must serve written notice of the making of the application on the persons referred to in section 57E(a), (b) and (c) and on the Native Title Registrar; or</w:t>
            </w:r>
          </w:p>
          <w:p w14:paraId="7ED282C9" w14:textId="77777777" w:rsidR="00472715" w:rsidRPr="00520C23" w:rsidRDefault="00472715" w:rsidP="00472715">
            <w:pPr>
              <w:spacing w:before="120"/>
              <w:rPr>
                <w:rFonts w:cstheme="minorHAnsi"/>
                <w:bCs/>
                <w:i/>
                <w:iCs/>
              </w:rPr>
            </w:pPr>
            <w:r w:rsidRPr="00520C23">
              <w:rPr>
                <w:rFonts w:cstheme="minorHAnsi"/>
                <w:bCs/>
                <w:i/>
                <w:iCs/>
              </w:rPr>
              <w:t xml:space="preserve">        (b)     if the prescribed petroleum act is an act to which section 57C(1)(b) refers – the applicant must serve written notice of the making of the application on the persons referred to in section 57E(a) , (b) and (c) and on the Native Title Registrar.</w:t>
            </w:r>
          </w:p>
          <w:p w14:paraId="12D9FB84" w14:textId="7DAB5C16" w:rsidR="00472715" w:rsidRPr="00520C23" w:rsidRDefault="00472715" w:rsidP="00472715">
            <w:pPr>
              <w:spacing w:before="120"/>
              <w:rPr>
                <w:rFonts w:cstheme="minorHAnsi"/>
                <w:bCs/>
              </w:rPr>
            </w:pPr>
            <w:r w:rsidRPr="00520C23">
              <w:rPr>
                <w:rFonts w:cstheme="minorHAnsi"/>
                <w:b/>
              </w:rPr>
              <w:t>The Aboriginal Land Rights Act</w:t>
            </w:r>
            <w:r w:rsidRPr="00520C23">
              <w:rPr>
                <w:rFonts w:cstheme="minorHAnsi"/>
                <w:bCs/>
              </w:rPr>
              <w:t xml:space="preserve"> </w:t>
            </w:r>
            <w:r w:rsidRPr="00520C23">
              <w:rPr>
                <w:rFonts w:cstheme="minorHAnsi"/>
                <w:b/>
              </w:rPr>
              <w:t>1976</w:t>
            </w:r>
            <w:r w:rsidRPr="00520C23">
              <w:rPr>
                <w:rFonts w:cstheme="minorHAnsi"/>
                <w:bCs/>
              </w:rPr>
              <w:t xml:space="preserve"> </w:t>
            </w:r>
          </w:p>
          <w:p w14:paraId="7009C3E6" w14:textId="4D88C427" w:rsidR="00472715" w:rsidRPr="00520C23" w:rsidRDefault="00472715" w:rsidP="00472715">
            <w:pPr>
              <w:spacing w:before="120"/>
              <w:rPr>
                <w:rFonts w:cstheme="minorHAnsi"/>
                <w:bCs/>
                <w:u w:val="single"/>
              </w:rPr>
            </w:pPr>
            <w:r w:rsidRPr="00520C23">
              <w:rPr>
                <w:rFonts w:cstheme="minorHAnsi"/>
                <w:bCs/>
                <w:u w:val="single"/>
              </w:rPr>
              <w:t>s41(6)</w:t>
            </w:r>
          </w:p>
          <w:p w14:paraId="6EA34763" w14:textId="77777777" w:rsidR="00472715" w:rsidRPr="00520C23" w:rsidRDefault="00472715" w:rsidP="00472715">
            <w:pPr>
              <w:spacing w:before="120"/>
              <w:rPr>
                <w:rFonts w:cstheme="minorHAnsi"/>
                <w:bCs/>
                <w:i/>
                <w:iCs/>
              </w:rPr>
            </w:pPr>
            <w:r w:rsidRPr="00520C23">
              <w:rPr>
                <w:rFonts w:cstheme="minorHAnsi"/>
                <w:bCs/>
              </w:rPr>
              <w:t>(</w:t>
            </w:r>
            <w:r w:rsidRPr="00520C23">
              <w:rPr>
                <w:rFonts w:cstheme="minorHAnsi"/>
                <w:bCs/>
                <w:i/>
                <w:iCs/>
              </w:rPr>
              <w:t>6)  The application shall set out a comprehensive proposal which includes, but is not limited to, the following particulars:</w:t>
            </w:r>
          </w:p>
          <w:p w14:paraId="75084907" w14:textId="77777777" w:rsidR="00472715" w:rsidRPr="00520C23" w:rsidRDefault="00472715" w:rsidP="00472715">
            <w:pPr>
              <w:spacing w:before="120"/>
              <w:rPr>
                <w:rFonts w:cstheme="minorHAnsi"/>
                <w:bCs/>
                <w:i/>
                <w:iCs/>
              </w:rPr>
            </w:pPr>
            <w:r w:rsidRPr="00520C23">
              <w:rPr>
                <w:rFonts w:cstheme="minorHAnsi"/>
                <w:bCs/>
                <w:i/>
                <w:iCs/>
              </w:rPr>
              <w:t xml:space="preserve">                     (a)  a description of the applicant and of the business activities of the applicant;</w:t>
            </w:r>
          </w:p>
          <w:p w14:paraId="7C7249B7" w14:textId="77777777" w:rsidR="00472715" w:rsidRPr="00520C23" w:rsidRDefault="00472715" w:rsidP="00472715">
            <w:pPr>
              <w:spacing w:before="120"/>
              <w:rPr>
                <w:rFonts w:cstheme="minorHAnsi"/>
                <w:bCs/>
                <w:i/>
                <w:iCs/>
              </w:rPr>
            </w:pPr>
            <w:r w:rsidRPr="00520C23">
              <w:rPr>
                <w:rFonts w:cstheme="minorHAnsi"/>
                <w:bCs/>
                <w:i/>
                <w:iCs/>
              </w:rPr>
              <w:t xml:space="preserve">                     (b)  a description of the affected land by reference to a map showing roads, topographical features, residential areas and other relevant features;</w:t>
            </w:r>
          </w:p>
          <w:p w14:paraId="04FD3E38" w14:textId="77777777" w:rsidR="00472715" w:rsidRPr="00520C23" w:rsidRDefault="00472715" w:rsidP="00472715">
            <w:pPr>
              <w:spacing w:before="120"/>
              <w:rPr>
                <w:rFonts w:cstheme="minorHAnsi"/>
                <w:bCs/>
                <w:i/>
                <w:iCs/>
              </w:rPr>
            </w:pPr>
            <w:r w:rsidRPr="00520C23">
              <w:rPr>
                <w:rFonts w:cstheme="minorHAnsi"/>
                <w:bCs/>
                <w:i/>
                <w:iCs/>
              </w:rPr>
              <w:t xml:space="preserve">                     (c)  a copy of the instrument by which the consent of the Northern Territory Mining Minister was given and of any conditions relevant to the potential impact of the exploration works on the affected land and on Aboriginals, being conditions that are, under a law of the Northern Territory relating to mining for minerals, likely to be conditions to which the grant of the exploration licence will be subject;</w:t>
            </w:r>
          </w:p>
          <w:p w14:paraId="37EC66AD" w14:textId="77777777" w:rsidR="00472715" w:rsidRPr="00520C23" w:rsidRDefault="00472715" w:rsidP="00472715">
            <w:pPr>
              <w:spacing w:before="120"/>
              <w:rPr>
                <w:rFonts w:cstheme="minorHAnsi"/>
                <w:bCs/>
                <w:i/>
                <w:iCs/>
              </w:rPr>
            </w:pPr>
            <w:r w:rsidRPr="00520C23">
              <w:rPr>
                <w:rFonts w:cstheme="minorHAnsi"/>
                <w:bCs/>
                <w:i/>
                <w:iCs/>
              </w:rPr>
              <w:t xml:space="preserve">                     (d)  an outline of the proposed exploration program stating, as far as practicable, the location, and likely effect, of proposed exploration works, and including details of:</w:t>
            </w:r>
          </w:p>
          <w:p w14:paraId="424C3AF8" w14:textId="2A764552" w:rsidR="00472715" w:rsidRPr="00520C23" w:rsidRDefault="00472715" w:rsidP="00472715">
            <w:pPr>
              <w:spacing w:before="120"/>
              <w:rPr>
                <w:rFonts w:cstheme="minorHAnsi"/>
                <w:bCs/>
                <w:i/>
                <w:iCs/>
              </w:rPr>
            </w:pPr>
            <w:r w:rsidRPr="00520C23">
              <w:rPr>
                <w:rFonts w:cstheme="minorHAnsi"/>
                <w:bCs/>
                <w:i/>
                <w:iCs/>
              </w:rPr>
              <w:t xml:space="preserve">                              (i)  the anticipated period of activity upon such works;</w:t>
            </w:r>
          </w:p>
          <w:p w14:paraId="019C2FF9" w14:textId="77777777" w:rsidR="00472715" w:rsidRPr="00520C23" w:rsidRDefault="00472715" w:rsidP="00472715">
            <w:pPr>
              <w:spacing w:before="120"/>
              <w:rPr>
                <w:rFonts w:cstheme="minorHAnsi"/>
                <w:bCs/>
                <w:i/>
                <w:iCs/>
              </w:rPr>
            </w:pPr>
            <w:r w:rsidRPr="00520C23">
              <w:rPr>
                <w:rFonts w:cstheme="minorHAnsi"/>
                <w:bCs/>
                <w:i/>
                <w:iCs/>
              </w:rPr>
              <w:t xml:space="preserve">                             (ii)  proposed and possible exploration techniques;</w:t>
            </w:r>
          </w:p>
          <w:p w14:paraId="09BD678C" w14:textId="77777777" w:rsidR="00472715" w:rsidRPr="00520C23" w:rsidRDefault="00472715" w:rsidP="00472715">
            <w:pPr>
              <w:spacing w:before="120"/>
              <w:rPr>
                <w:rFonts w:cstheme="minorHAnsi"/>
                <w:bCs/>
                <w:i/>
                <w:iCs/>
              </w:rPr>
            </w:pPr>
            <w:r w:rsidRPr="00520C23">
              <w:rPr>
                <w:rFonts w:cstheme="minorHAnsi"/>
                <w:bCs/>
                <w:i/>
                <w:iCs/>
              </w:rPr>
              <w:t xml:space="preserve">                            (iii)  the extent to which exploration activities will, or are likely to, affect the environment inside and outside the affected land;</w:t>
            </w:r>
          </w:p>
          <w:p w14:paraId="47EB20EF" w14:textId="77777777" w:rsidR="00472715" w:rsidRPr="00520C23" w:rsidRDefault="00472715" w:rsidP="00472715">
            <w:pPr>
              <w:spacing w:before="120"/>
              <w:rPr>
                <w:rFonts w:cstheme="minorHAnsi"/>
                <w:bCs/>
                <w:i/>
                <w:iCs/>
              </w:rPr>
            </w:pPr>
            <w:r w:rsidRPr="00520C23">
              <w:rPr>
                <w:rFonts w:cstheme="minorHAnsi"/>
                <w:bCs/>
                <w:i/>
                <w:iCs/>
              </w:rPr>
              <w:t xml:space="preserve">                            (iv)  the proposed method and amount of vehicular access to and within the affected land with reference to any proposals to construct roads, landing strips or other access facilities;</w:t>
            </w:r>
          </w:p>
          <w:p w14:paraId="23ED2630" w14:textId="77777777" w:rsidR="00472715" w:rsidRPr="00520C23" w:rsidRDefault="00472715" w:rsidP="00472715">
            <w:pPr>
              <w:spacing w:before="120"/>
              <w:rPr>
                <w:rFonts w:cstheme="minorHAnsi"/>
                <w:bCs/>
                <w:i/>
                <w:iCs/>
              </w:rPr>
            </w:pPr>
            <w:r w:rsidRPr="00520C23">
              <w:rPr>
                <w:rFonts w:cstheme="minorHAnsi"/>
                <w:bCs/>
                <w:i/>
                <w:iCs/>
              </w:rPr>
              <w:lastRenderedPageBreak/>
              <w:t xml:space="preserve">                             (v)  the maximum number of people likely to be on the affected land from time to time;</w:t>
            </w:r>
          </w:p>
          <w:p w14:paraId="7555C626" w14:textId="4C6C6140" w:rsidR="00472715" w:rsidRPr="00520C23" w:rsidRDefault="00472715" w:rsidP="00472715">
            <w:pPr>
              <w:spacing w:before="120"/>
              <w:rPr>
                <w:rFonts w:cstheme="minorHAnsi"/>
                <w:bCs/>
                <w:i/>
                <w:iCs/>
              </w:rPr>
            </w:pPr>
            <w:r w:rsidRPr="00520C23">
              <w:rPr>
                <w:rFonts w:cstheme="minorHAnsi"/>
                <w:bCs/>
                <w:i/>
                <w:iCs/>
              </w:rPr>
              <w:t xml:space="preserve">                            (vi)  the proposed water, timber or other requirements to be obtained from the affected land; and</w:t>
            </w:r>
          </w:p>
          <w:p w14:paraId="769F8F25" w14:textId="77777777" w:rsidR="00472715" w:rsidRPr="00520C23" w:rsidRDefault="00472715" w:rsidP="00472715">
            <w:pPr>
              <w:spacing w:before="120"/>
              <w:rPr>
                <w:rFonts w:cstheme="minorHAnsi"/>
                <w:bCs/>
                <w:i/>
                <w:iCs/>
              </w:rPr>
            </w:pPr>
            <w:r w:rsidRPr="00520C23">
              <w:rPr>
                <w:rFonts w:cstheme="minorHAnsi"/>
                <w:bCs/>
                <w:i/>
                <w:iCs/>
              </w:rPr>
              <w:t xml:space="preserve">                           (vii)  proposals for minimising the effect of the proposed exploration works on the affected land;</w:t>
            </w:r>
          </w:p>
          <w:p w14:paraId="51EB56DC" w14:textId="77777777" w:rsidR="00472715" w:rsidRPr="00520C23" w:rsidRDefault="00472715" w:rsidP="00472715">
            <w:pPr>
              <w:spacing w:before="120"/>
              <w:rPr>
                <w:rFonts w:cstheme="minorHAnsi"/>
                <w:bCs/>
                <w:i/>
                <w:iCs/>
              </w:rPr>
            </w:pPr>
            <w:r w:rsidRPr="00520C23">
              <w:rPr>
                <w:rFonts w:cstheme="minorHAnsi"/>
                <w:bCs/>
                <w:i/>
                <w:iCs/>
              </w:rPr>
              <w:t xml:space="preserve">                          (viii)  the estimated cost of exploration;</w:t>
            </w:r>
          </w:p>
          <w:p w14:paraId="04C87E9B" w14:textId="77777777" w:rsidR="00472715" w:rsidRPr="00520C23" w:rsidRDefault="00472715" w:rsidP="00472715">
            <w:pPr>
              <w:spacing w:before="120"/>
              <w:rPr>
                <w:rFonts w:cstheme="minorHAnsi"/>
                <w:bCs/>
                <w:i/>
                <w:iCs/>
              </w:rPr>
            </w:pPr>
            <w:r w:rsidRPr="00520C23">
              <w:rPr>
                <w:rFonts w:cstheme="minorHAnsi"/>
                <w:bCs/>
                <w:i/>
                <w:iCs/>
              </w:rPr>
              <w:t xml:space="preserve">                            (ix)  the estimated geological potential of the area;</w:t>
            </w:r>
          </w:p>
          <w:p w14:paraId="16A5C2DF" w14:textId="77777777" w:rsidR="00472715" w:rsidRPr="00520C23" w:rsidRDefault="00472715" w:rsidP="00472715">
            <w:pPr>
              <w:spacing w:before="120"/>
              <w:rPr>
                <w:rFonts w:cstheme="minorHAnsi"/>
                <w:bCs/>
                <w:i/>
                <w:iCs/>
              </w:rPr>
            </w:pPr>
            <w:r w:rsidRPr="00520C23">
              <w:rPr>
                <w:rFonts w:cstheme="minorHAnsi"/>
                <w:bCs/>
                <w:i/>
                <w:iCs/>
              </w:rPr>
              <w:t xml:space="preserve">                             (x)  a proposal in relation to payments for exploration activities;</w:t>
            </w:r>
          </w:p>
          <w:p w14:paraId="3DB0372C" w14:textId="77777777" w:rsidR="00472715" w:rsidRPr="00520C23" w:rsidRDefault="00472715" w:rsidP="00472715">
            <w:pPr>
              <w:spacing w:before="120"/>
              <w:rPr>
                <w:rFonts w:cstheme="minorHAnsi"/>
                <w:bCs/>
                <w:i/>
                <w:iCs/>
              </w:rPr>
            </w:pPr>
            <w:r w:rsidRPr="00520C23">
              <w:rPr>
                <w:rFonts w:cstheme="minorHAnsi"/>
                <w:bCs/>
                <w:i/>
                <w:iCs/>
              </w:rPr>
              <w:t xml:space="preserve">                            (xi)  the term of the exploration period;</w:t>
            </w:r>
          </w:p>
          <w:p w14:paraId="6423F5E4" w14:textId="77777777" w:rsidR="00472715" w:rsidRPr="00520C23" w:rsidRDefault="00472715" w:rsidP="00472715">
            <w:pPr>
              <w:spacing w:before="120"/>
              <w:rPr>
                <w:rFonts w:cstheme="minorHAnsi"/>
                <w:bCs/>
                <w:i/>
                <w:iCs/>
              </w:rPr>
            </w:pPr>
            <w:r w:rsidRPr="00520C23">
              <w:rPr>
                <w:rFonts w:cstheme="minorHAnsi"/>
                <w:bCs/>
                <w:i/>
                <w:iCs/>
              </w:rPr>
              <w:t xml:space="preserve">                           (xii)  proposals for rehabilitation; and</w:t>
            </w:r>
          </w:p>
          <w:p w14:paraId="20268500" w14:textId="725304B7" w:rsidR="00472715" w:rsidRPr="00520C23" w:rsidRDefault="00472715" w:rsidP="00472715">
            <w:pPr>
              <w:spacing w:before="120"/>
              <w:rPr>
                <w:rFonts w:cstheme="minorHAnsi"/>
              </w:rPr>
            </w:pPr>
            <w:r w:rsidRPr="00520C23">
              <w:rPr>
                <w:rFonts w:cstheme="minorHAnsi"/>
                <w:bCs/>
                <w:i/>
                <w:iCs/>
              </w:rPr>
              <w:t xml:space="preserve">                          (xiii)  proposals for minimising social impact;</w:t>
            </w:r>
          </w:p>
        </w:tc>
        <w:tc>
          <w:tcPr>
            <w:tcW w:w="5310" w:type="dxa"/>
            <w:shd w:val="clear" w:color="auto" w:fill="FED6D6"/>
          </w:tcPr>
          <w:p w14:paraId="294F99F4" w14:textId="77777777" w:rsidR="00472715" w:rsidRPr="00520C23" w:rsidRDefault="00472715" w:rsidP="00472715">
            <w:pPr>
              <w:spacing w:before="120"/>
              <w:rPr>
                <w:rFonts w:cstheme="minorHAnsi"/>
                <w:bCs/>
              </w:rPr>
            </w:pPr>
            <w:r w:rsidRPr="00520C23">
              <w:rPr>
                <w:rFonts w:cstheme="minorHAnsi"/>
                <w:bCs/>
              </w:rPr>
              <w:lastRenderedPageBreak/>
              <w:t xml:space="preserve">This recommendation has not been implemented. </w:t>
            </w:r>
          </w:p>
          <w:p w14:paraId="3D28DADF" w14:textId="483D82B9" w:rsidR="00472715" w:rsidRPr="00520C23" w:rsidRDefault="00472715" w:rsidP="00472715">
            <w:pPr>
              <w:spacing w:before="120"/>
              <w:rPr>
                <w:rFonts w:cstheme="minorHAnsi"/>
                <w:bCs/>
                <w:i/>
                <w:iCs/>
                <w:u w:val="single"/>
              </w:rPr>
            </w:pPr>
            <w:r w:rsidRPr="00520C23">
              <w:rPr>
                <w:rFonts w:cstheme="minorHAnsi"/>
                <w:bCs/>
                <w:i/>
                <w:iCs/>
                <w:u w:val="single"/>
              </w:rPr>
              <w:t>Comments</w:t>
            </w:r>
          </w:p>
          <w:p w14:paraId="639CAA83" w14:textId="3EA02BE5" w:rsidR="00472715" w:rsidRPr="00520C23" w:rsidRDefault="00472715" w:rsidP="00472715">
            <w:pPr>
              <w:pStyle w:val="ListParagraph"/>
              <w:numPr>
                <w:ilvl w:val="0"/>
                <w:numId w:val="7"/>
              </w:numPr>
              <w:spacing w:before="120"/>
              <w:rPr>
                <w:rFonts w:cstheme="minorHAnsi"/>
                <w:bCs/>
              </w:rPr>
            </w:pPr>
            <w:r w:rsidRPr="00520C23">
              <w:rPr>
                <w:rFonts w:cstheme="minorHAnsi"/>
                <w:bCs/>
              </w:rPr>
              <w:lastRenderedPageBreak/>
              <w:t>The Petroleum Exploration Permit Application and Conditions Guidelines are not binding and therefore cannot be used to implement this recommendation.</w:t>
            </w:r>
          </w:p>
          <w:p w14:paraId="187D555E" w14:textId="79AF221F" w:rsidR="00472715" w:rsidRPr="00520C23" w:rsidRDefault="00472715" w:rsidP="00472715">
            <w:pPr>
              <w:pStyle w:val="ListParagraph"/>
              <w:numPr>
                <w:ilvl w:val="0"/>
                <w:numId w:val="7"/>
              </w:numPr>
              <w:spacing w:before="120"/>
              <w:rPr>
                <w:rFonts w:cstheme="minorHAnsi"/>
                <w:bCs/>
              </w:rPr>
            </w:pPr>
            <w:r w:rsidRPr="00520C23">
              <w:rPr>
                <w:rFonts w:cstheme="minorHAnsi"/>
                <w:bCs/>
              </w:rPr>
              <w:t xml:space="preserve">The </w:t>
            </w:r>
            <w:r w:rsidRPr="00520C23">
              <w:rPr>
                <w:rFonts w:cstheme="minorHAnsi"/>
                <w:bCs/>
                <w:i/>
                <w:iCs/>
              </w:rPr>
              <w:t>Aboriginal Land Rights Act 1976,</w:t>
            </w:r>
            <w:r w:rsidRPr="00520C23">
              <w:rPr>
                <w:rFonts w:cstheme="minorHAnsi"/>
                <w:bCs/>
              </w:rPr>
              <w:t xml:space="preserve"> s41(6) details the requirements that gas companies must fulfill when seeking approval by the Minister for gas exploration permits. It does not require that gas companies specifically provide a statement to native title holders containing such information. It does, however, require that this information be put together in the gas company’s application. </w:t>
            </w:r>
          </w:p>
          <w:p w14:paraId="00C92560" w14:textId="25C12379" w:rsidR="00472715" w:rsidRPr="00520C23" w:rsidRDefault="00472715" w:rsidP="00472715">
            <w:pPr>
              <w:pStyle w:val="ListParagraph"/>
              <w:numPr>
                <w:ilvl w:val="0"/>
                <w:numId w:val="7"/>
              </w:numPr>
              <w:spacing w:before="120"/>
              <w:rPr>
                <w:rFonts w:cstheme="minorHAnsi"/>
                <w:bCs/>
              </w:rPr>
            </w:pPr>
            <w:r w:rsidRPr="00520C23">
              <w:rPr>
                <w:rFonts w:cstheme="minorHAnsi"/>
                <w:bCs/>
              </w:rPr>
              <w:t>The Petroleum Act requires gas companies to provide notification of its application to native title holders where relevant. These legal requirements would not necessarily “</w:t>
            </w:r>
            <w:r w:rsidRPr="00520C23">
              <w:rPr>
                <w:rFonts w:cstheme="minorHAnsi"/>
                <w:bCs/>
                <w:i/>
                <w:iCs/>
              </w:rPr>
              <w:t>ensure native title claimants have a clear understanding of the nature of the potential future exploration activity</w:t>
            </w:r>
            <w:r w:rsidRPr="00520C23">
              <w:rPr>
                <w:rFonts w:cstheme="minorHAnsi"/>
                <w:bCs/>
              </w:rPr>
              <w:t xml:space="preserve">” but would appear to fulfill this recommendation. </w:t>
            </w:r>
          </w:p>
        </w:tc>
      </w:tr>
      <w:tr w:rsidR="00B45059" w:rsidRPr="00520C23" w14:paraId="47FAC711" w14:textId="77777777" w:rsidTr="00EA3C33">
        <w:tc>
          <w:tcPr>
            <w:tcW w:w="846" w:type="dxa"/>
            <w:shd w:val="clear" w:color="auto" w:fill="auto"/>
          </w:tcPr>
          <w:p w14:paraId="362C4F21" w14:textId="6099F890" w:rsidR="00B45059" w:rsidRPr="00520C23" w:rsidRDefault="00B45059" w:rsidP="00472715">
            <w:pPr>
              <w:spacing w:before="120"/>
              <w:jc w:val="center"/>
              <w:rPr>
                <w:rFonts w:cstheme="minorHAnsi"/>
              </w:rPr>
            </w:pPr>
            <w:r>
              <w:rPr>
                <w:rFonts w:cstheme="minorHAnsi"/>
              </w:rPr>
              <w:lastRenderedPageBreak/>
              <w:t>11.5</w:t>
            </w:r>
          </w:p>
        </w:tc>
        <w:tc>
          <w:tcPr>
            <w:tcW w:w="4819" w:type="dxa"/>
            <w:shd w:val="clear" w:color="auto" w:fill="auto"/>
          </w:tcPr>
          <w:p w14:paraId="5CE466EC" w14:textId="64F2F3B8" w:rsidR="00B45059" w:rsidRPr="00520C23" w:rsidRDefault="00B45059" w:rsidP="00472715">
            <w:pPr>
              <w:spacing w:before="120"/>
              <w:rPr>
                <w:rFonts w:cstheme="minorHAnsi"/>
                <w:i/>
                <w:iCs/>
              </w:rPr>
            </w:pPr>
            <w:r w:rsidRPr="00C948EF">
              <w:rPr>
                <w:rFonts w:cstheme="minorHAnsi"/>
                <w:i/>
                <w:iCs/>
              </w:rPr>
              <w:t>That interpreters be used at all consultations with Aboriginal people for whom English is a second language. Interpreters must be appropriately supported to ensure that they understand the subject matter of the consultation.</w:t>
            </w:r>
          </w:p>
        </w:tc>
        <w:tc>
          <w:tcPr>
            <w:tcW w:w="11430" w:type="dxa"/>
            <w:gridSpan w:val="2"/>
            <w:shd w:val="clear" w:color="auto" w:fill="auto"/>
          </w:tcPr>
          <w:p w14:paraId="74E091ED" w14:textId="77777777" w:rsidR="00B45059" w:rsidRDefault="00F90BAA" w:rsidP="00472715">
            <w:pPr>
              <w:rPr>
                <w:rFonts w:cstheme="minorHAnsi"/>
                <w:lang w:val="en-US"/>
              </w:rPr>
            </w:pPr>
            <w:hyperlink r:id="rId64" w:history="1">
              <w:r w:rsidR="00B45059" w:rsidRPr="003D1A43">
                <w:rPr>
                  <w:rStyle w:val="Hyperlink"/>
                  <w:rFonts w:cstheme="minorHAnsi"/>
                  <w:lang w:val="en-US"/>
                </w:rPr>
                <w:t>Principles of Engagement when using Aboriginal Interpreters</w:t>
              </w:r>
            </w:hyperlink>
            <w:r w:rsidR="00B45059" w:rsidRPr="003D1A43">
              <w:rPr>
                <w:rFonts w:cstheme="minorHAnsi"/>
                <w:lang w:val="en-US"/>
              </w:rPr>
              <w:t> (the Principles) have been developed by the Department of the Chief Minister and Cabinet in consultation with the Aboriginal Interpreters Service (AIS) to provide a consistent set of guidance for all those consulting with Aboriginal people.</w:t>
            </w:r>
          </w:p>
          <w:p w14:paraId="664B21B6" w14:textId="77777777" w:rsidR="00B45059" w:rsidRPr="003D1A43" w:rsidRDefault="00B45059" w:rsidP="00472715">
            <w:pPr>
              <w:rPr>
                <w:rFonts w:cstheme="minorHAnsi"/>
                <w:lang w:val="en-US"/>
              </w:rPr>
            </w:pPr>
          </w:p>
          <w:p w14:paraId="6B59439E" w14:textId="77777777" w:rsidR="00B45059" w:rsidRDefault="00B45059" w:rsidP="00472715">
            <w:pPr>
              <w:rPr>
                <w:rFonts w:cstheme="minorHAnsi"/>
                <w:lang w:val="en-US"/>
              </w:rPr>
            </w:pPr>
            <w:r w:rsidRPr="003D1A43">
              <w:rPr>
                <w:rFonts w:cstheme="minorHAnsi"/>
                <w:lang w:val="en-US"/>
              </w:rPr>
              <w:t>The Principles emphasise the importance of using interpreters when explaining complex scientific matters and recognise the significance of respecting community and culture when consulting with Aboriginal people. The objective of the Principles is to promote consistent, effective and accountable engagement with Aboriginal people through working together.</w:t>
            </w:r>
          </w:p>
          <w:p w14:paraId="5A83F1F1" w14:textId="77777777" w:rsidR="00B45059" w:rsidRPr="003D1A43" w:rsidRDefault="00B45059" w:rsidP="00472715">
            <w:pPr>
              <w:rPr>
                <w:rFonts w:cstheme="minorHAnsi"/>
                <w:lang w:val="en-US"/>
              </w:rPr>
            </w:pPr>
          </w:p>
          <w:p w14:paraId="12E599F9" w14:textId="77777777" w:rsidR="00B45059" w:rsidRDefault="00B45059" w:rsidP="00472715">
            <w:pPr>
              <w:rPr>
                <w:rFonts w:cstheme="minorHAnsi"/>
                <w:lang w:val="en-US"/>
              </w:rPr>
            </w:pPr>
            <w:r w:rsidRPr="003D1A43">
              <w:rPr>
                <w:rFonts w:cstheme="minorHAnsi"/>
                <w:lang w:val="en-US"/>
              </w:rPr>
              <w:t>The Principles were developed to align with similar existing principles regarding important aspects of remote and Aboriginal engagement including:</w:t>
            </w:r>
          </w:p>
          <w:p w14:paraId="0D509CC2" w14:textId="77777777" w:rsidR="00B45059" w:rsidRPr="003D1A43" w:rsidRDefault="00B45059" w:rsidP="00472715">
            <w:pPr>
              <w:rPr>
                <w:rFonts w:cstheme="minorHAnsi"/>
                <w:lang w:val="en-US"/>
              </w:rPr>
            </w:pPr>
          </w:p>
          <w:p w14:paraId="689A73E6" w14:textId="77777777" w:rsidR="00B45059" w:rsidRPr="003D1A43" w:rsidRDefault="00B45059" w:rsidP="00472715">
            <w:pPr>
              <w:numPr>
                <w:ilvl w:val="0"/>
                <w:numId w:val="106"/>
              </w:numPr>
              <w:rPr>
                <w:rFonts w:cstheme="minorHAnsi"/>
                <w:lang w:val="en-US"/>
              </w:rPr>
            </w:pPr>
            <w:r w:rsidRPr="003D1A43">
              <w:rPr>
                <w:rFonts w:cstheme="minorHAnsi"/>
                <w:lang w:val="en-US"/>
              </w:rPr>
              <w:t>NT Government’s Remote Engagement and Coordination Strategy;</w:t>
            </w:r>
          </w:p>
          <w:p w14:paraId="085D2BF4" w14:textId="77777777" w:rsidR="00B45059" w:rsidRDefault="00B45059" w:rsidP="00472715">
            <w:pPr>
              <w:numPr>
                <w:ilvl w:val="0"/>
                <w:numId w:val="106"/>
              </w:numPr>
              <w:rPr>
                <w:rFonts w:cstheme="minorHAnsi"/>
                <w:lang w:val="en-US"/>
              </w:rPr>
            </w:pPr>
            <w:r w:rsidRPr="003D1A43">
              <w:rPr>
                <w:rFonts w:cstheme="minorHAnsi"/>
                <w:lang w:val="en-US"/>
              </w:rPr>
              <w:t>Aboriginal Peak Organisations Northern Territory’s (APONT) Partnership Principles for working with Aboriginal Organisations and communities in the Northern Territory; and</w:t>
            </w:r>
          </w:p>
          <w:p w14:paraId="796BEA9B" w14:textId="77777777" w:rsidR="00B45059" w:rsidRPr="003D1A43" w:rsidRDefault="00B45059" w:rsidP="00472715">
            <w:pPr>
              <w:ind w:left="720"/>
              <w:rPr>
                <w:rFonts w:cstheme="minorHAnsi"/>
                <w:lang w:val="en-US"/>
              </w:rPr>
            </w:pPr>
          </w:p>
          <w:p w14:paraId="3C143AA3" w14:textId="77777777" w:rsidR="00B45059" w:rsidRPr="003D1A43" w:rsidRDefault="00B45059" w:rsidP="00472715">
            <w:pPr>
              <w:rPr>
                <w:rFonts w:cstheme="minorHAnsi"/>
                <w:lang w:val="en-US"/>
              </w:rPr>
            </w:pPr>
            <w:r w:rsidRPr="003D1A43">
              <w:rPr>
                <w:rFonts w:cstheme="minorHAnsi"/>
                <w:lang w:val="en-US"/>
              </w:rPr>
              <w:t>Commonwealth’s Department of the Prime Minister and Cabinet’s </w:t>
            </w:r>
            <w:r w:rsidRPr="003D1A43">
              <w:rPr>
                <w:rFonts w:cstheme="minorHAnsi"/>
                <w:i/>
                <w:iCs/>
                <w:lang w:val="en-US"/>
              </w:rPr>
              <w:t>Protocol on Indigenous Language Interpreting</w:t>
            </w:r>
            <w:r w:rsidRPr="003D1A43">
              <w:rPr>
                <w:rFonts w:cstheme="minorHAnsi"/>
                <w:lang w:val="en-US"/>
              </w:rPr>
              <w:t>. The Principles are available on the Hydraulic Fracturing Implementation website and are additionally linked to key resource sites to ensure they are accessible to all stakeholders engaging with Aboriginal community members.</w:t>
            </w:r>
          </w:p>
          <w:p w14:paraId="6F1A62A4" w14:textId="77777777" w:rsidR="00B45059" w:rsidRPr="003D1A43" w:rsidRDefault="00B45059" w:rsidP="00472715">
            <w:pPr>
              <w:rPr>
                <w:rFonts w:cstheme="minorHAnsi"/>
                <w:lang w:val="en-US"/>
              </w:rPr>
            </w:pPr>
            <w:r w:rsidRPr="003D1A43">
              <w:rPr>
                <w:rFonts w:cstheme="minorHAnsi"/>
                <w:lang w:val="en-US"/>
              </w:rPr>
              <w:t>It is recognised that key authorities and stakeholders including the Land Councils and the Aboriginal Areas Protection Authority have their own resources and expectations regarding culturally appropriate engagement with Aboriginal community members, therefore the Principles are an additional level of guidance to support those specific resources and requirements.</w:t>
            </w:r>
          </w:p>
          <w:p w14:paraId="514CB234" w14:textId="77777777" w:rsidR="00B45059" w:rsidRPr="00520C23" w:rsidRDefault="00B45059" w:rsidP="00472715">
            <w:pPr>
              <w:spacing w:before="120"/>
              <w:rPr>
                <w:rFonts w:cstheme="minorHAnsi"/>
                <w:b/>
              </w:rPr>
            </w:pPr>
          </w:p>
        </w:tc>
        <w:tc>
          <w:tcPr>
            <w:tcW w:w="5310" w:type="dxa"/>
            <w:shd w:val="clear" w:color="auto" w:fill="FFF2CC" w:themeFill="accent4" w:themeFillTint="33"/>
          </w:tcPr>
          <w:p w14:paraId="065D6510" w14:textId="59CE16D5" w:rsidR="00B45059" w:rsidRPr="00520C23" w:rsidRDefault="00B45059" w:rsidP="00472715">
            <w:pPr>
              <w:spacing w:before="120"/>
              <w:rPr>
                <w:rFonts w:cstheme="minorHAnsi"/>
                <w:bCs/>
              </w:rPr>
            </w:pPr>
            <w:r>
              <w:rPr>
                <w:rFonts w:cstheme="minorHAnsi"/>
                <w:bCs/>
              </w:rPr>
              <w:t xml:space="preserve">This recommendation has been </w:t>
            </w:r>
            <w:r w:rsidR="006A513C">
              <w:rPr>
                <w:rFonts w:cstheme="minorHAnsi"/>
                <w:bCs/>
              </w:rPr>
              <w:t>partially</w:t>
            </w:r>
            <w:r>
              <w:rPr>
                <w:rFonts w:cstheme="minorHAnsi"/>
                <w:bCs/>
              </w:rPr>
              <w:t xml:space="preserve"> implemented. </w:t>
            </w:r>
            <w:r w:rsidR="007B0B08">
              <w:rPr>
                <w:rFonts w:cstheme="minorHAnsi"/>
                <w:bCs/>
              </w:rPr>
              <w:t>T</w:t>
            </w:r>
            <w:r>
              <w:rPr>
                <w:rFonts w:cstheme="minorHAnsi"/>
                <w:bCs/>
              </w:rPr>
              <w:t>he legal status of the Principles of Engagement is unclear, in terms of whether non-compliance can be a basis for challenge</w:t>
            </w:r>
            <w:r w:rsidR="007B0B08">
              <w:rPr>
                <w:rFonts w:cstheme="minorHAnsi"/>
                <w:bCs/>
              </w:rPr>
              <w:t>, and the language of the Principles do not explicitly require interpreters to be present at all consultations</w:t>
            </w:r>
            <w:r w:rsidR="00D83542">
              <w:rPr>
                <w:rFonts w:cstheme="minorHAnsi"/>
                <w:bCs/>
              </w:rPr>
              <w:t xml:space="preserve">. </w:t>
            </w:r>
          </w:p>
        </w:tc>
      </w:tr>
      <w:tr w:rsidR="00472715" w:rsidRPr="00520C23" w14:paraId="70A33E25" w14:textId="77777777" w:rsidTr="00EA3C33">
        <w:tc>
          <w:tcPr>
            <w:tcW w:w="846" w:type="dxa"/>
            <w:shd w:val="clear" w:color="auto" w:fill="auto"/>
          </w:tcPr>
          <w:p w14:paraId="168F3E86" w14:textId="560A8935" w:rsidR="00472715" w:rsidRPr="00520C23" w:rsidRDefault="00472715" w:rsidP="00472715">
            <w:pPr>
              <w:spacing w:before="120"/>
              <w:jc w:val="center"/>
              <w:rPr>
                <w:rFonts w:cstheme="minorHAnsi"/>
              </w:rPr>
            </w:pPr>
            <w:r>
              <w:rPr>
                <w:rFonts w:cstheme="minorHAnsi"/>
              </w:rPr>
              <w:t>11.6</w:t>
            </w:r>
          </w:p>
        </w:tc>
        <w:tc>
          <w:tcPr>
            <w:tcW w:w="4819" w:type="dxa"/>
            <w:shd w:val="clear" w:color="auto" w:fill="auto"/>
          </w:tcPr>
          <w:p w14:paraId="105E5979" w14:textId="029A9A90" w:rsidR="00472715" w:rsidRPr="00520C23" w:rsidRDefault="00472715" w:rsidP="00472715">
            <w:pPr>
              <w:spacing w:before="120"/>
              <w:rPr>
                <w:rFonts w:cstheme="minorHAnsi"/>
                <w:i/>
                <w:iCs/>
              </w:rPr>
            </w:pPr>
            <w:r w:rsidRPr="00AA1136">
              <w:rPr>
                <w:rFonts w:cstheme="minorHAnsi"/>
                <w:i/>
                <w:iCs/>
              </w:rPr>
              <w:t>That in collaboration with the Government, Land Councils and AAPA, an independent, third-party designs and implements an information program to ensure that reliable, accessible, trusted and accurate information about any onshore shale gas industry is effectively communicated to all Aboriginal people who will be affected by any onshore shale gas industry. That the program be funded by the gas industry.</w:t>
            </w:r>
          </w:p>
        </w:tc>
        <w:tc>
          <w:tcPr>
            <w:tcW w:w="11430" w:type="dxa"/>
            <w:gridSpan w:val="2"/>
            <w:shd w:val="clear" w:color="auto" w:fill="auto"/>
          </w:tcPr>
          <w:p w14:paraId="5A134396" w14:textId="77777777" w:rsidR="00472715" w:rsidRPr="00AA1136" w:rsidRDefault="00472715" w:rsidP="00472715">
            <w:pPr>
              <w:rPr>
                <w:rFonts w:cstheme="minorHAnsi"/>
                <w:lang w:val="en-US"/>
              </w:rPr>
            </w:pPr>
            <w:r w:rsidRPr="00AA1136">
              <w:rPr>
                <w:rFonts w:cstheme="minorHAnsi"/>
                <w:lang w:val="en-US"/>
              </w:rPr>
              <w:t>In 2020 and 2021, through the Aboriginal Information Program, CSIRO worked collaboratively with Land Councils to identify information requirements and developed factsheets with clear, factual and relevant content for translation into languages of local Aboriginal communities potentially affected by shale gas development and hydraulic fracturing.</w:t>
            </w:r>
          </w:p>
          <w:p w14:paraId="3014B55F" w14:textId="77777777" w:rsidR="00472715" w:rsidRDefault="00472715" w:rsidP="00472715">
            <w:pPr>
              <w:rPr>
                <w:rFonts w:cstheme="minorHAnsi"/>
                <w:lang w:val="en-US"/>
              </w:rPr>
            </w:pPr>
            <w:r w:rsidRPr="00AA1136">
              <w:rPr>
                <w:rFonts w:cstheme="minorHAnsi"/>
                <w:lang w:val="en-US"/>
              </w:rPr>
              <w:t>The Aboriginal Interpreter Service (AIS), in consultation with CSIRO, used the information in these factsheets to create audio scripts and is translating these into the 18 languages AIS offers translation services for.</w:t>
            </w:r>
          </w:p>
          <w:p w14:paraId="257EDC39" w14:textId="77777777" w:rsidR="00472715" w:rsidRPr="00AA1136" w:rsidRDefault="00472715" w:rsidP="00472715">
            <w:pPr>
              <w:rPr>
                <w:rFonts w:cstheme="minorHAnsi"/>
                <w:lang w:val="en-US"/>
              </w:rPr>
            </w:pPr>
          </w:p>
          <w:p w14:paraId="0ED340F7" w14:textId="77777777" w:rsidR="00472715" w:rsidRDefault="00472715" w:rsidP="00472715">
            <w:pPr>
              <w:rPr>
                <w:rFonts w:cstheme="minorHAnsi"/>
                <w:lang w:val="en-US"/>
              </w:rPr>
            </w:pPr>
            <w:r w:rsidRPr="00AA1136">
              <w:rPr>
                <w:rFonts w:cstheme="minorHAnsi"/>
                <w:lang w:val="en-US"/>
              </w:rPr>
              <w:t>Translated </w:t>
            </w:r>
            <w:hyperlink r:id="rId65" w:history="1">
              <w:r w:rsidRPr="00AA1136">
                <w:rPr>
                  <w:rStyle w:val="Hyperlink"/>
                  <w:rFonts w:cstheme="minorHAnsi"/>
                  <w:lang w:val="en-US"/>
                </w:rPr>
                <w:t>audio files about groundwater, methane and shale gas</w:t>
              </w:r>
            </w:hyperlink>
            <w:r w:rsidRPr="00AA1136">
              <w:rPr>
                <w:rFonts w:cstheme="minorHAnsi"/>
                <w:lang w:val="en-US"/>
              </w:rPr>
              <w:t xml:space="preserve"> are now publicly available on the Onshore Gas website to use when engaging with Aboriginal people regarding shale gas development and hydraulic fracturing in the Territory. In addition to the factsheets already produced, the Department of the Chief Minister and Cabinet worked with CSIRO to design </w:t>
            </w:r>
            <w:r w:rsidRPr="00AA1136">
              <w:rPr>
                <w:rFonts w:cstheme="minorHAnsi"/>
                <w:lang w:val="en-US"/>
              </w:rPr>
              <w:lastRenderedPageBreak/>
              <w:t>the Community Engagement and Information Program, which aims to provide the broader Aboriginal community with accurate, trusted, and accessible information so that they can make informed decisions.</w:t>
            </w:r>
          </w:p>
          <w:p w14:paraId="596FF76E" w14:textId="77777777" w:rsidR="00472715" w:rsidRPr="00AA1136" w:rsidRDefault="00472715" w:rsidP="00472715">
            <w:pPr>
              <w:rPr>
                <w:rFonts w:cstheme="minorHAnsi"/>
                <w:lang w:val="en-US"/>
              </w:rPr>
            </w:pPr>
          </w:p>
          <w:p w14:paraId="37741D8A" w14:textId="77777777" w:rsidR="00472715" w:rsidRPr="00AA1136" w:rsidRDefault="00472715" w:rsidP="00472715">
            <w:pPr>
              <w:rPr>
                <w:rFonts w:cstheme="minorHAnsi"/>
                <w:lang w:val="en-US"/>
              </w:rPr>
            </w:pPr>
            <w:r w:rsidRPr="00AA1136">
              <w:rPr>
                <w:rFonts w:cstheme="minorHAnsi"/>
                <w:lang w:val="en-US"/>
              </w:rPr>
              <w:t>The NT Government signed a five-year agreement with CSIRO in December 2021, to deliver the Community Engagement and Information Program face-to-face through a full-time dedicated position based in the Northern Territory.</w:t>
            </w:r>
          </w:p>
          <w:p w14:paraId="7C9E0428" w14:textId="77777777" w:rsidR="00472715" w:rsidRDefault="00472715" w:rsidP="00472715">
            <w:pPr>
              <w:rPr>
                <w:rFonts w:cstheme="minorHAnsi"/>
                <w:lang w:val="en-US"/>
              </w:rPr>
            </w:pPr>
            <w:r w:rsidRPr="00AA1136">
              <w:rPr>
                <w:rFonts w:cstheme="minorHAnsi"/>
                <w:lang w:val="en-US"/>
              </w:rPr>
              <w:t>CSIRO appointed a Project Director to lead the Community Engagement and Information Program in April 2022, based in Darwin in the Indigenous Science and Knowledge team within CSIRO’s Land and Water Business Unit. The team conducts a range of research with Indigenous co-research partners to address the challenges and harness future opportunities to support Indigenous leaders and their research and innovation agendas.</w:t>
            </w:r>
          </w:p>
          <w:p w14:paraId="5512683E" w14:textId="77777777" w:rsidR="00472715" w:rsidRPr="00AA1136" w:rsidRDefault="00472715" w:rsidP="00472715">
            <w:pPr>
              <w:rPr>
                <w:rFonts w:cstheme="minorHAnsi"/>
                <w:lang w:val="en-US"/>
              </w:rPr>
            </w:pPr>
          </w:p>
          <w:p w14:paraId="3E35FA26" w14:textId="77777777" w:rsidR="00472715" w:rsidRPr="00AA1136" w:rsidRDefault="00472715" w:rsidP="00472715">
            <w:pPr>
              <w:rPr>
                <w:rFonts w:cstheme="minorHAnsi"/>
                <w:lang w:val="en-US"/>
              </w:rPr>
            </w:pPr>
            <w:r w:rsidRPr="00AA1136">
              <w:rPr>
                <w:rFonts w:cstheme="minorHAnsi"/>
                <w:lang w:val="en-US"/>
              </w:rPr>
              <w:t>In addition to the factsheets already produced, the ongoing Community Engagement and Information Program will engage with Aboriginal people, identify information gaps and develop information materials as required by stakeholders. The Program includes an ethics clearance process, communication planning and regular reviews to ensure appropriate and effective delivery.</w:t>
            </w:r>
          </w:p>
          <w:p w14:paraId="72F3E7C4" w14:textId="77777777" w:rsidR="00472715" w:rsidRPr="00520C23" w:rsidRDefault="00472715" w:rsidP="00472715">
            <w:pPr>
              <w:spacing w:before="120"/>
              <w:rPr>
                <w:rFonts w:cstheme="minorHAnsi"/>
                <w:b/>
              </w:rPr>
            </w:pPr>
          </w:p>
        </w:tc>
        <w:tc>
          <w:tcPr>
            <w:tcW w:w="5310" w:type="dxa"/>
            <w:shd w:val="clear" w:color="auto" w:fill="FED2D9"/>
          </w:tcPr>
          <w:p w14:paraId="120F5101" w14:textId="220E2533" w:rsidR="00472715" w:rsidRPr="00520C23" w:rsidRDefault="00472715" w:rsidP="00472715">
            <w:pPr>
              <w:spacing w:before="120"/>
              <w:rPr>
                <w:rFonts w:cstheme="minorHAnsi"/>
                <w:bCs/>
              </w:rPr>
            </w:pPr>
            <w:r>
              <w:rPr>
                <w:rFonts w:cstheme="minorHAnsi"/>
                <w:bCs/>
              </w:rPr>
              <w:lastRenderedPageBreak/>
              <w:t xml:space="preserve">This recommendation has </w:t>
            </w:r>
            <w:r w:rsidR="002730B2">
              <w:rPr>
                <w:rFonts w:cstheme="minorHAnsi"/>
                <w:bCs/>
              </w:rPr>
              <w:t xml:space="preserve">not been </w:t>
            </w:r>
            <w:r>
              <w:rPr>
                <w:rFonts w:cstheme="minorHAnsi"/>
                <w:bCs/>
              </w:rPr>
              <w:t xml:space="preserve">implemented. The measures described in the implementation status of </w:t>
            </w:r>
            <w:r w:rsidR="001935CA">
              <w:rPr>
                <w:rFonts w:cstheme="minorHAnsi"/>
                <w:bCs/>
              </w:rPr>
              <w:t>r</w:t>
            </w:r>
            <w:r>
              <w:rPr>
                <w:rFonts w:cstheme="minorHAnsi"/>
                <w:bCs/>
              </w:rPr>
              <w:t xml:space="preserve">ecommendation 11.6 provide communications to the public on onshore shale gas development, but none of them appear to be administered by an “independent, third-party” – CSIRO is a government agency. </w:t>
            </w:r>
            <w:r w:rsidR="000B0046">
              <w:rPr>
                <w:rFonts w:cstheme="minorHAnsi"/>
                <w:bCs/>
              </w:rPr>
              <w:t>The programs described in the implementation status also do not appear to be funded by the gas industry.</w:t>
            </w:r>
          </w:p>
        </w:tc>
      </w:tr>
      <w:tr w:rsidR="00EA3C33" w:rsidRPr="00520C23" w14:paraId="5617DC01" w14:textId="77777777" w:rsidTr="00EA3C33">
        <w:tc>
          <w:tcPr>
            <w:tcW w:w="846" w:type="dxa"/>
            <w:shd w:val="clear" w:color="auto" w:fill="auto"/>
          </w:tcPr>
          <w:p w14:paraId="2FBCB8AB" w14:textId="313692BE" w:rsidR="00472715" w:rsidRPr="00520C23" w:rsidRDefault="00472715" w:rsidP="00472715">
            <w:pPr>
              <w:spacing w:before="120"/>
              <w:jc w:val="center"/>
              <w:rPr>
                <w:rFonts w:cstheme="minorHAnsi"/>
              </w:rPr>
            </w:pPr>
            <w:r w:rsidRPr="00520C23">
              <w:rPr>
                <w:rFonts w:cstheme="minorHAnsi"/>
              </w:rPr>
              <w:t>11.7</w:t>
            </w:r>
          </w:p>
        </w:tc>
        <w:tc>
          <w:tcPr>
            <w:tcW w:w="4819" w:type="dxa"/>
            <w:shd w:val="clear" w:color="auto" w:fill="auto"/>
          </w:tcPr>
          <w:p w14:paraId="76053675" w14:textId="326D9C4E" w:rsidR="00472715" w:rsidRPr="00520C23" w:rsidRDefault="00472715" w:rsidP="00472715">
            <w:pPr>
              <w:spacing w:before="120"/>
              <w:rPr>
                <w:rFonts w:cstheme="minorHAnsi"/>
                <w:i/>
                <w:iCs/>
              </w:rPr>
            </w:pPr>
            <w:r w:rsidRPr="00520C23">
              <w:rPr>
                <w:rFonts w:cstheme="minorHAnsi"/>
                <w:i/>
                <w:iCs/>
              </w:rPr>
              <w:t>That Land Councils, traditional Aboriginal owners and gas companies consider making all, or if this is not appropriate, part of petroleum exploration agreements publicly available.</w:t>
            </w:r>
          </w:p>
        </w:tc>
        <w:tc>
          <w:tcPr>
            <w:tcW w:w="5760" w:type="dxa"/>
            <w:shd w:val="clear" w:color="auto" w:fill="auto"/>
          </w:tcPr>
          <w:p w14:paraId="2B62B186" w14:textId="49CC2ACF" w:rsidR="00472715" w:rsidRPr="00520C23" w:rsidRDefault="00472715" w:rsidP="00472715">
            <w:pPr>
              <w:rPr>
                <w:rFonts w:cstheme="minorHAnsi"/>
              </w:rPr>
            </w:pPr>
            <w:r w:rsidRPr="00520C23">
              <w:rPr>
                <w:rFonts w:cstheme="minorHAnsi"/>
              </w:rPr>
              <w:t xml:space="preserve">The Northern Territory Government consulted </w:t>
            </w:r>
            <w:hyperlink r:id="rId66" w:history="1">
              <w:r w:rsidRPr="00520C23">
                <w:rPr>
                  <w:rStyle w:val="Hyperlink"/>
                  <w:rFonts w:cstheme="minorHAnsi"/>
                </w:rPr>
                <w:t>Land Councils</w:t>
              </w:r>
            </w:hyperlink>
            <w:r w:rsidRPr="00520C23">
              <w:rPr>
                <w:rFonts w:cstheme="minorHAnsi"/>
              </w:rPr>
              <w:t xml:space="preserve"> affected by existing exploration permits and the Australian Petroleum and Production Exploration Association (APPEA) on the implementation of this recommendation.</w:t>
            </w:r>
          </w:p>
          <w:p w14:paraId="5893D2E9" w14:textId="77777777" w:rsidR="00472715" w:rsidRPr="00520C23" w:rsidRDefault="00472715" w:rsidP="00472715">
            <w:pPr>
              <w:rPr>
                <w:rFonts w:cstheme="minorHAnsi"/>
              </w:rPr>
            </w:pPr>
          </w:p>
          <w:p w14:paraId="0441342E" w14:textId="4038A80D" w:rsidR="00472715" w:rsidRPr="00520C23" w:rsidRDefault="00472715" w:rsidP="00472715">
            <w:pPr>
              <w:rPr>
                <w:rFonts w:cstheme="minorHAnsi"/>
              </w:rPr>
            </w:pPr>
            <w:r w:rsidRPr="00520C23">
              <w:rPr>
                <w:rFonts w:cstheme="minorHAnsi"/>
              </w:rPr>
              <w:t>Land Councils and APPEA considered the request to make confidential Petroleum Exploration Agreements made under the </w:t>
            </w:r>
            <w:r w:rsidRPr="00520C23">
              <w:rPr>
                <w:rFonts w:cstheme="minorHAnsi"/>
                <w:i/>
                <w:iCs/>
              </w:rPr>
              <w:t>Native Title Act 1993</w:t>
            </w:r>
            <w:r w:rsidRPr="00520C23">
              <w:rPr>
                <w:rFonts w:cstheme="minorHAnsi"/>
              </w:rPr>
              <w:t> or </w:t>
            </w:r>
            <w:r w:rsidRPr="00520C23">
              <w:rPr>
                <w:rFonts w:cstheme="minorHAnsi"/>
                <w:i/>
                <w:iCs/>
              </w:rPr>
              <w:t>Aboriginal Land Rights Act (Northern Territory) 1976,</w:t>
            </w:r>
            <w:r w:rsidRPr="00520C23">
              <w:rPr>
                <w:rFonts w:cstheme="minorHAnsi"/>
              </w:rPr>
              <w:t> between Traditional Owners and exploration companies publicly available, and advised they do not support implementation of this request. Petroleum exploration agreements involving potential hydraulic fracturing will remain confidential.</w:t>
            </w:r>
          </w:p>
          <w:p w14:paraId="41072B80" w14:textId="77777777" w:rsidR="00472715" w:rsidRPr="00520C23" w:rsidRDefault="00472715" w:rsidP="00472715">
            <w:pPr>
              <w:rPr>
                <w:rFonts w:cstheme="minorHAnsi"/>
              </w:rPr>
            </w:pPr>
          </w:p>
        </w:tc>
        <w:tc>
          <w:tcPr>
            <w:tcW w:w="5670" w:type="dxa"/>
            <w:shd w:val="clear" w:color="auto" w:fill="auto"/>
          </w:tcPr>
          <w:p w14:paraId="4B1CB739" w14:textId="77777777" w:rsidR="00472715" w:rsidRPr="00520C23" w:rsidRDefault="00472715" w:rsidP="00472715">
            <w:pPr>
              <w:spacing w:before="120"/>
              <w:rPr>
                <w:rFonts w:cstheme="minorHAnsi"/>
                <w:b/>
                <w:i/>
                <w:iCs/>
              </w:rPr>
            </w:pPr>
          </w:p>
        </w:tc>
        <w:tc>
          <w:tcPr>
            <w:tcW w:w="5310" w:type="dxa"/>
            <w:shd w:val="clear" w:color="auto" w:fill="FED2D9"/>
          </w:tcPr>
          <w:p w14:paraId="27ADEADD" w14:textId="06470536" w:rsidR="00472715" w:rsidRPr="00520C23" w:rsidRDefault="00472715" w:rsidP="00472715">
            <w:pPr>
              <w:spacing w:before="120"/>
              <w:rPr>
                <w:rFonts w:cstheme="minorHAnsi"/>
              </w:rPr>
            </w:pPr>
            <w:r w:rsidRPr="00520C23">
              <w:rPr>
                <w:rFonts w:cstheme="minorHAnsi"/>
              </w:rPr>
              <w:t>This recommendation has intentionally not been implemented.</w:t>
            </w:r>
          </w:p>
        </w:tc>
      </w:tr>
      <w:tr w:rsidR="00EA3C33" w:rsidRPr="00520C23" w14:paraId="1CA93FA9" w14:textId="77777777" w:rsidTr="00EA3C33">
        <w:tc>
          <w:tcPr>
            <w:tcW w:w="846" w:type="dxa"/>
            <w:shd w:val="clear" w:color="auto" w:fill="auto"/>
          </w:tcPr>
          <w:p w14:paraId="22D432FA" w14:textId="79FEC6A7" w:rsidR="00472715" w:rsidRPr="00520C23" w:rsidRDefault="00472715" w:rsidP="00472715">
            <w:pPr>
              <w:spacing w:before="120"/>
              <w:jc w:val="center"/>
              <w:rPr>
                <w:rFonts w:cstheme="minorHAnsi"/>
              </w:rPr>
            </w:pPr>
            <w:r>
              <w:rPr>
                <w:rFonts w:cstheme="minorHAnsi"/>
              </w:rPr>
              <w:t>12.2</w:t>
            </w:r>
          </w:p>
        </w:tc>
        <w:tc>
          <w:tcPr>
            <w:tcW w:w="4819" w:type="dxa"/>
            <w:shd w:val="clear" w:color="auto" w:fill="auto"/>
          </w:tcPr>
          <w:p w14:paraId="41B46142" w14:textId="0F302ECC" w:rsidR="00472715" w:rsidRPr="00520C23" w:rsidRDefault="00472715" w:rsidP="00472715">
            <w:pPr>
              <w:spacing w:before="120"/>
              <w:rPr>
                <w:rFonts w:cstheme="minorHAnsi"/>
                <w:i/>
                <w:iCs/>
              </w:rPr>
            </w:pPr>
            <w:r w:rsidRPr="00265173">
              <w:rPr>
                <w:rFonts w:cstheme="minorHAnsi"/>
                <w:i/>
                <w:iCs/>
              </w:rPr>
              <w:t>That the strategic SIA be funded by the gas industry.</w:t>
            </w:r>
          </w:p>
        </w:tc>
        <w:tc>
          <w:tcPr>
            <w:tcW w:w="5760" w:type="dxa"/>
            <w:shd w:val="clear" w:color="auto" w:fill="auto"/>
          </w:tcPr>
          <w:p w14:paraId="400402E8" w14:textId="059A884E" w:rsidR="00472715" w:rsidRPr="00520C23" w:rsidRDefault="00472715" w:rsidP="00472715">
            <w:pPr>
              <w:rPr>
                <w:rFonts w:cstheme="minorHAnsi"/>
              </w:rPr>
            </w:pPr>
            <w:r w:rsidRPr="00265173">
              <w:rPr>
                <w:rFonts w:cstheme="minorHAnsi"/>
              </w:rPr>
              <w:t>The Petroleum Legislation Amendment Bill 2022 was introduced in the Legislative Assembly on 12 October 2022, passed on 1 December 2022 and assented to on 16 December 2022. Refer to </w:t>
            </w:r>
            <w:hyperlink r:id="rId67" w:history="1">
              <w:r w:rsidRPr="00265173">
                <w:rPr>
                  <w:rStyle w:val="Hyperlink"/>
                  <w:rFonts w:cstheme="minorHAnsi"/>
                </w:rPr>
                <w:t>Special Gazette S64 PDF (182.5 KB)</w:t>
              </w:r>
            </w:hyperlink>
            <w:r w:rsidRPr="00265173">
              <w:rPr>
                <w:rFonts w:cstheme="minorHAnsi"/>
              </w:rPr>
              <w:t> published on 19 December 2022. New cost recovery charges will be implemented when amendments to the </w:t>
            </w:r>
            <w:r w:rsidRPr="00265173">
              <w:rPr>
                <w:rFonts w:cstheme="minorHAnsi"/>
                <w:i/>
                <w:iCs/>
              </w:rPr>
              <w:t>Petroleum Act 1984</w:t>
            </w:r>
            <w:r w:rsidRPr="00265173">
              <w:rPr>
                <w:rFonts w:cstheme="minorHAnsi"/>
              </w:rPr>
              <w:t> and the </w:t>
            </w:r>
            <w:r w:rsidRPr="00265173">
              <w:rPr>
                <w:rFonts w:cstheme="minorHAnsi"/>
                <w:i/>
                <w:iCs/>
              </w:rPr>
              <w:t>Petroleum Regulations 2020</w:t>
            </w:r>
            <w:r w:rsidRPr="00265173">
              <w:rPr>
                <w:rFonts w:cstheme="minorHAnsi"/>
              </w:rPr>
              <w:t> commence in 2023.</w:t>
            </w:r>
          </w:p>
        </w:tc>
        <w:tc>
          <w:tcPr>
            <w:tcW w:w="5670" w:type="dxa"/>
            <w:shd w:val="clear" w:color="auto" w:fill="auto"/>
          </w:tcPr>
          <w:p w14:paraId="52D5CF55" w14:textId="77777777" w:rsidR="00472715" w:rsidRPr="00607BD1" w:rsidRDefault="00472715" w:rsidP="00472715">
            <w:pPr>
              <w:spacing w:before="120"/>
              <w:rPr>
                <w:rFonts w:cstheme="minorHAnsi"/>
                <w:lang w:val="en-US"/>
              </w:rPr>
            </w:pPr>
            <w:r w:rsidRPr="00607BD1">
              <w:rPr>
                <w:rFonts w:cstheme="minorHAnsi"/>
                <w:lang w:val="en-US"/>
              </w:rPr>
              <w:t xml:space="preserve">117M Cost recovery </w:t>
            </w:r>
          </w:p>
          <w:p w14:paraId="6F7FC8F7" w14:textId="77777777" w:rsidR="00472715" w:rsidRPr="00607BD1" w:rsidRDefault="00472715" w:rsidP="00472715">
            <w:pPr>
              <w:spacing w:before="120"/>
              <w:rPr>
                <w:rFonts w:cstheme="minorHAnsi"/>
                <w:lang w:val="en-US"/>
              </w:rPr>
            </w:pPr>
            <w:r w:rsidRPr="00607BD1">
              <w:rPr>
                <w:rFonts w:cstheme="minorHAnsi"/>
                <w:lang w:val="en-US"/>
              </w:rPr>
              <w:t xml:space="preserve">(1) The CEO may recover: </w:t>
            </w:r>
          </w:p>
          <w:p w14:paraId="144DAAD0" w14:textId="77777777" w:rsidR="00472715" w:rsidRPr="00607BD1" w:rsidRDefault="00472715" w:rsidP="00472715">
            <w:pPr>
              <w:spacing w:before="120"/>
              <w:ind w:left="346"/>
              <w:rPr>
                <w:rFonts w:cstheme="minorHAnsi"/>
                <w:lang w:val="en-US"/>
              </w:rPr>
            </w:pPr>
            <w:r w:rsidRPr="00607BD1">
              <w:rPr>
                <w:rFonts w:cstheme="minorHAnsi"/>
                <w:lang w:val="en-US"/>
              </w:rPr>
              <w:t xml:space="preserve">(a) from an applicant or other person mentioned in section 117L(2) the cost of the engagement by the Minister or the CEO of a person under that section to give the advice envisaged by that section; or </w:t>
            </w:r>
          </w:p>
          <w:p w14:paraId="029EA371" w14:textId="77777777" w:rsidR="00472715" w:rsidRPr="00607BD1" w:rsidRDefault="00472715" w:rsidP="00472715">
            <w:pPr>
              <w:spacing w:before="120"/>
              <w:ind w:left="346"/>
              <w:rPr>
                <w:rFonts w:cstheme="minorHAnsi"/>
                <w:lang w:val="en-US"/>
              </w:rPr>
            </w:pPr>
            <w:r w:rsidRPr="00607BD1">
              <w:rPr>
                <w:rFonts w:cstheme="minorHAnsi"/>
                <w:lang w:val="en-US"/>
              </w:rPr>
              <w:t xml:space="preserve">(b) from an interest holder, or from a person who has applied to become an interest holder, any costs reasonably incurred by the Minister or the CEO in connection with taking any step or performing any function that directly relates to that interest holder or potential interest holder. </w:t>
            </w:r>
          </w:p>
          <w:p w14:paraId="1AF0CA2B" w14:textId="77777777" w:rsidR="00472715" w:rsidRPr="00607BD1" w:rsidRDefault="00472715" w:rsidP="00472715">
            <w:pPr>
              <w:spacing w:before="120"/>
              <w:rPr>
                <w:rFonts w:cstheme="minorHAnsi"/>
                <w:lang w:val="en-US"/>
              </w:rPr>
            </w:pPr>
            <w:r w:rsidRPr="00607BD1">
              <w:rPr>
                <w:rFonts w:cstheme="minorHAnsi"/>
                <w:lang w:val="en-US"/>
              </w:rPr>
              <w:t xml:space="preserve">(2) An amount is not recoverable under subsection (1)(b) to the extent that it appears to the CEO that the cost of taking a step or performing a function was covered by a prescribed fee or charge prescribed by the regulations in relation to the same matter. </w:t>
            </w:r>
          </w:p>
          <w:p w14:paraId="74F067A1" w14:textId="22889C3B" w:rsidR="00472715" w:rsidRPr="00520C23" w:rsidRDefault="00472715" w:rsidP="00472715">
            <w:pPr>
              <w:spacing w:before="120"/>
              <w:rPr>
                <w:rFonts w:cstheme="minorHAnsi"/>
                <w:b/>
                <w:i/>
                <w:iCs/>
              </w:rPr>
            </w:pPr>
            <w:r w:rsidRPr="00607BD1">
              <w:rPr>
                <w:rFonts w:cstheme="minorHAnsi"/>
                <w:lang w:val="en-US"/>
              </w:rPr>
              <w:t>(3) The CEO may recover the costs as a debt due and payable to the Territory.</w:t>
            </w:r>
          </w:p>
        </w:tc>
        <w:tc>
          <w:tcPr>
            <w:tcW w:w="5310" w:type="dxa"/>
            <w:shd w:val="clear" w:color="auto" w:fill="FFF2CC" w:themeFill="accent4" w:themeFillTint="33"/>
          </w:tcPr>
          <w:p w14:paraId="45C4742A" w14:textId="778E5CFB" w:rsidR="00472715" w:rsidRPr="00520C23" w:rsidRDefault="00472715" w:rsidP="00472715">
            <w:pPr>
              <w:spacing w:before="120"/>
              <w:rPr>
                <w:rFonts w:cstheme="minorHAnsi"/>
              </w:rPr>
            </w:pPr>
            <w:r>
              <w:rPr>
                <w:rFonts w:cstheme="minorHAnsi"/>
              </w:rPr>
              <w:t xml:space="preserve">This recommendation has been partially implemented. The new cost recovery provision allows the Chief Executive Officer to recover costs from an interest holder/potential interest holder that were “reasonably incurred . . . in connection with taking any step or performing any function that directly relates to that interest holder or potential interest holder.” This provision is drafted broadly enough to encompass funding for a strategic SIA, but it is still in the CEO’s discretion </w:t>
            </w:r>
            <w:r w:rsidR="00A42230">
              <w:rPr>
                <w:rFonts w:cstheme="minorHAnsi"/>
              </w:rPr>
              <w:t>whether</w:t>
            </w:r>
            <w:r>
              <w:rPr>
                <w:rFonts w:cstheme="minorHAnsi"/>
              </w:rPr>
              <w:t xml:space="preserve"> to request payment. </w:t>
            </w:r>
          </w:p>
        </w:tc>
      </w:tr>
      <w:tr w:rsidR="00EA3C33" w:rsidRPr="00520C23" w14:paraId="33338CC8" w14:textId="77777777" w:rsidTr="00EA3C33">
        <w:tc>
          <w:tcPr>
            <w:tcW w:w="846" w:type="dxa"/>
            <w:shd w:val="clear" w:color="auto" w:fill="auto"/>
          </w:tcPr>
          <w:p w14:paraId="65C6F779" w14:textId="6196DFCE" w:rsidR="00472715" w:rsidRPr="00520C23" w:rsidRDefault="00472715" w:rsidP="00472715">
            <w:pPr>
              <w:spacing w:before="120"/>
              <w:jc w:val="center"/>
              <w:rPr>
                <w:rFonts w:cstheme="minorHAnsi"/>
              </w:rPr>
            </w:pPr>
            <w:r w:rsidRPr="00520C23">
              <w:rPr>
                <w:rFonts w:cstheme="minorHAnsi"/>
              </w:rPr>
              <w:lastRenderedPageBreak/>
              <w:t>12.8</w:t>
            </w:r>
          </w:p>
        </w:tc>
        <w:tc>
          <w:tcPr>
            <w:tcW w:w="4819" w:type="dxa"/>
            <w:shd w:val="clear" w:color="auto" w:fill="FFFFFF" w:themeFill="background1"/>
          </w:tcPr>
          <w:p w14:paraId="1D10DA3D" w14:textId="7414C377" w:rsidR="00472715" w:rsidRPr="00520C23" w:rsidRDefault="00472715" w:rsidP="00472715">
            <w:pPr>
              <w:spacing w:before="120"/>
              <w:rPr>
                <w:rFonts w:cstheme="minorHAnsi"/>
                <w:i/>
                <w:iCs/>
              </w:rPr>
            </w:pPr>
            <w:r w:rsidRPr="00520C23">
              <w:rPr>
                <w:rFonts w:cstheme="minorHAnsi"/>
                <w:i/>
                <w:iCs/>
              </w:rPr>
              <w:t>That as part of any strategic SIA and prior to any significant increase in traffic as a result of any onshore shale gas industry, consultation must be undertaken on road use and related infrastructure requirements that results in road upgrades and work schedules to the appropriate Austroad standards and commensurate with the anticipated vehicle type required for any onshore shale gas industry.</w:t>
            </w:r>
          </w:p>
        </w:tc>
        <w:tc>
          <w:tcPr>
            <w:tcW w:w="5760" w:type="dxa"/>
            <w:shd w:val="clear" w:color="auto" w:fill="FFFFFF" w:themeFill="background1"/>
          </w:tcPr>
          <w:p w14:paraId="5B9BA011" w14:textId="77777777" w:rsidR="00472715" w:rsidRPr="00C802CE" w:rsidRDefault="00472715" w:rsidP="00472715">
            <w:pPr>
              <w:rPr>
                <w:rFonts w:cstheme="minorHAnsi"/>
              </w:rPr>
            </w:pPr>
            <w:r w:rsidRPr="00C802CE">
              <w:rPr>
                <w:rFonts w:cstheme="minorHAnsi"/>
              </w:rPr>
              <w:t>KPMG/GHD/Risc have completed studies on infrastructure and logistical requirements (</w:t>
            </w:r>
            <w:hyperlink r:id="rId68" w:history="1">
              <w:r w:rsidRPr="00520C23">
                <w:rPr>
                  <w:rStyle w:val="Hyperlink"/>
                  <w:rFonts w:cstheme="minorHAnsi"/>
                </w:rPr>
                <w:t>Analysis of Infrastructure and Logistics Requirements for the Development of an Onshore Oil and Gas Industry in the Northern Territory</w:t>
              </w:r>
            </w:hyperlink>
            <w:r w:rsidRPr="00C802CE">
              <w:rPr>
                <w:rFonts w:cstheme="minorHAnsi"/>
                <w:u w:val="single"/>
              </w:rPr>
              <w:t>)</w:t>
            </w:r>
            <w:r w:rsidRPr="00C802CE">
              <w:rPr>
                <w:rFonts w:cstheme="minorHAnsi"/>
              </w:rPr>
              <w:t> for the exploration and development stages of onshore oil and gas in the Beetaloo Basin under a range of supply and demand development scenarios.</w:t>
            </w:r>
          </w:p>
          <w:p w14:paraId="7C58A57B" w14:textId="77777777" w:rsidR="00472715" w:rsidRDefault="00472715" w:rsidP="00472715">
            <w:pPr>
              <w:rPr>
                <w:rFonts w:cstheme="minorHAnsi"/>
              </w:rPr>
            </w:pPr>
          </w:p>
          <w:p w14:paraId="6FD162CE" w14:textId="77777777" w:rsidR="00472715" w:rsidRPr="00520C23" w:rsidRDefault="00472715" w:rsidP="00472715">
            <w:pPr>
              <w:rPr>
                <w:rFonts w:cstheme="minorHAnsi"/>
              </w:rPr>
            </w:pPr>
            <w:r w:rsidRPr="00520C23">
              <w:rPr>
                <w:rFonts w:cstheme="minorHAnsi"/>
              </w:rPr>
              <w:t>CSIRO published the final report to GISERA </w:t>
            </w:r>
            <w:hyperlink r:id="rId69" w:history="1">
              <w:r w:rsidRPr="00520C23">
                <w:rPr>
                  <w:rStyle w:val="Hyperlink"/>
                  <w:rFonts w:cstheme="minorHAnsi"/>
                </w:rPr>
                <w:t>Mapping future transport for improved planning and operation – GISERA (csiro.au)</w:t>
              </w:r>
            </w:hyperlink>
            <w:r w:rsidRPr="00520C23">
              <w:rPr>
                <w:rFonts w:cstheme="minorHAnsi"/>
              </w:rPr>
              <w:t> in November 2021.</w:t>
            </w:r>
          </w:p>
          <w:p w14:paraId="4EC8743E" w14:textId="77777777" w:rsidR="00472715" w:rsidRPr="00520C23" w:rsidRDefault="00472715" w:rsidP="00472715">
            <w:pPr>
              <w:rPr>
                <w:rFonts w:cstheme="minorHAnsi"/>
              </w:rPr>
            </w:pPr>
          </w:p>
          <w:p w14:paraId="7B204EA7" w14:textId="77777777" w:rsidR="00472715" w:rsidRPr="00C802CE" w:rsidRDefault="00472715" w:rsidP="00472715">
            <w:pPr>
              <w:rPr>
                <w:rFonts w:cstheme="minorHAnsi"/>
              </w:rPr>
            </w:pPr>
            <w:r w:rsidRPr="00520C23">
              <w:rPr>
                <w:rFonts w:cstheme="minorHAnsi"/>
              </w:rPr>
              <w:t>The studies engaged extensively with key stakeholders to test its assessments and analysis and provide critical feedback.</w:t>
            </w:r>
          </w:p>
          <w:p w14:paraId="2A91249D" w14:textId="260EE1D1" w:rsidR="00472715" w:rsidRPr="00520C23" w:rsidRDefault="00472715" w:rsidP="00472715">
            <w:pPr>
              <w:rPr>
                <w:rFonts w:cstheme="minorHAnsi"/>
              </w:rPr>
            </w:pPr>
          </w:p>
        </w:tc>
        <w:tc>
          <w:tcPr>
            <w:tcW w:w="5670" w:type="dxa"/>
            <w:shd w:val="clear" w:color="auto" w:fill="FFFFFF" w:themeFill="background1"/>
          </w:tcPr>
          <w:p w14:paraId="21765E99" w14:textId="77777777" w:rsidR="00472715" w:rsidRPr="00520C23" w:rsidRDefault="00472715" w:rsidP="00472715">
            <w:pPr>
              <w:spacing w:before="120"/>
              <w:rPr>
                <w:rFonts w:cstheme="minorHAnsi"/>
              </w:rPr>
            </w:pPr>
            <w:r w:rsidRPr="00520C23">
              <w:rPr>
                <w:rFonts w:cstheme="minorHAnsi"/>
              </w:rPr>
              <w:t xml:space="preserve">The NT government noted that: </w:t>
            </w:r>
          </w:p>
          <w:p w14:paraId="5517C5DC" w14:textId="77777777" w:rsidR="00472715" w:rsidRPr="007A79D0" w:rsidRDefault="00472715" w:rsidP="00472715">
            <w:pPr>
              <w:spacing w:before="120"/>
              <w:rPr>
                <w:rFonts w:cstheme="minorHAnsi"/>
                <w:i/>
                <w:iCs/>
              </w:rPr>
            </w:pPr>
            <w:r w:rsidRPr="007A79D0">
              <w:rPr>
                <w:rFonts w:cstheme="minorHAnsi"/>
                <w:i/>
                <w:iCs/>
              </w:rPr>
              <w:t>In late November 2021, the Department of Infrastructure, Planning and Logistics (DIPL) engaged with a targeted stakeholder group of 15 organisations, including petroleum interest holders in the Beetaloo Sub-basin area and peak bodies and industry organisations in mining, gas exploration and pipeline assets.</w:t>
            </w:r>
          </w:p>
          <w:p w14:paraId="1D365555" w14:textId="0C0E5E32" w:rsidR="00472715" w:rsidRPr="00520C23" w:rsidRDefault="00472715" w:rsidP="00472715">
            <w:pPr>
              <w:spacing w:before="120"/>
              <w:rPr>
                <w:rFonts w:cstheme="minorHAnsi"/>
                <w:i/>
                <w:iCs/>
              </w:rPr>
            </w:pPr>
            <w:r w:rsidRPr="007A79D0">
              <w:rPr>
                <w:rFonts w:cstheme="minorHAnsi"/>
                <w:i/>
                <w:iCs/>
              </w:rPr>
              <w:t>The purpose was to seek comment on the priority list of immediate to short term (0 – 5 years) road upgrade projects within the Beetaloo Sub-basin (funded under the NT Gas Industry Roads Corridor Investment Strategy), as well as longer term (Over 5 years) priorities.</w:t>
            </w:r>
          </w:p>
        </w:tc>
        <w:tc>
          <w:tcPr>
            <w:tcW w:w="5310" w:type="dxa"/>
            <w:shd w:val="clear" w:color="auto" w:fill="FFF2CC" w:themeFill="accent4" w:themeFillTint="33"/>
          </w:tcPr>
          <w:p w14:paraId="48745D7E" w14:textId="028858CB" w:rsidR="00472715" w:rsidRPr="00520C23" w:rsidRDefault="00472715" w:rsidP="00472715">
            <w:pPr>
              <w:spacing w:before="120"/>
              <w:rPr>
                <w:rFonts w:cstheme="minorHAnsi"/>
              </w:rPr>
            </w:pPr>
            <w:r>
              <w:rPr>
                <w:rFonts w:cstheme="minorHAnsi"/>
              </w:rPr>
              <w:t xml:space="preserve">The government has interpreted this recommendation to mean that only consultation with </w:t>
            </w:r>
            <w:r w:rsidRPr="00804686">
              <w:rPr>
                <w:rFonts w:cstheme="minorHAnsi"/>
                <w:i/>
              </w:rPr>
              <w:t>industry</w:t>
            </w:r>
            <w:r w:rsidRPr="00E27CA2">
              <w:rPr>
                <w:rFonts w:cstheme="minorHAnsi"/>
                <w:u w:val="single"/>
              </w:rPr>
              <w:t xml:space="preserve"> </w:t>
            </w:r>
            <w:r>
              <w:rPr>
                <w:rFonts w:cstheme="minorHAnsi"/>
                <w:u w:val="single"/>
              </w:rPr>
              <w:t xml:space="preserve">and government </w:t>
            </w:r>
            <w:r>
              <w:rPr>
                <w:rFonts w:cstheme="minorHAnsi"/>
              </w:rPr>
              <w:t xml:space="preserve">stakeholders is required and conducted those limited </w:t>
            </w:r>
            <w:r w:rsidRPr="00520C23">
              <w:rPr>
                <w:rFonts w:cstheme="minorHAnsi"/>
              </w:rPr>
              <w:t>consultation</w:t>
            </w:r>
            <w:r>
              <w:rPr>
                <w:rFonts w:cstheme="minorHAnsi"/>
              </w:rPr>
              <w:t>s</w:t>
            </w:r>
            <w:r w:rsidRPr="00520C23">
              <w:rPr>
                <w:rFonts w:cstheme="minorHAnsi"/>
              </w:rPr>
              <w:t xml:space="preserve"> </w:t>
            </w:r>
            <w:r>
              <w:rPr>
                <w:rFonts w:cstheme="minorHAnsi"/>
              </w:rPr>
              <w:t>in November 2021</w:t>
            </w:r>
            <w:r w:rsidRPr="00520C23">
              <w:rPr>
                <w:rFonts w:cstheme="minorHAnsi"/>
              </w:rPr>
              <w:t>.</w:t>
            </w:r>
            <w:r>
              <w:rPr>
                <w:rFonts w:cstheme="minorHAnsi"/>
              </w:rPr>
              <w:t xml:space="preserve"> Non-industry stakeholders such as potentially affected communities do not seem to have been invited to participate.</w:t>
            </w:r>
          </w:p>
        </w:tc>
      </w:tr>
      <w:tr w:rsidR="00472715" w:rsidRPr="00520C23" w14:paraId="04F7B525" w14:textId="77777777" w:rsidTr="00EA3C33">
        <w:tc>
          <w:tcPr>
            <w:tcW w:w="846" w:type="dxa"/>
            <w:shd w:val="clear" w:color="auto" w:fill="auto"/>
          </w:tcPr>
          <w:p w14:paraId="13EFD258" w14:textId="24A6ABC1" w:rsidR="00472715" w:rsidRPr="00520C23" w:rsidRDefault="00472715" w:rsidP="00472715">
            <w:pPr>
              <w:spacing w:before="120"/>
              <w:jc w:val="center"/>
              <w:rPr>
                <w:rFonts w:cstheme="minorHAnsi"/>
              </w:rPr>
            </w:pPr>
            <w:r>
              <w:rPr>
                <w:rFonts w:cstheme="minorHAnsi"/>
              </w:rPr>
              <w:t>12.9</w:t>
            </w:r>
          </w:p>
        </w:tc>
        <w:tc>
          <w:tcPr>
            <w:tcW w:w="4819" w:type="dxa"/>
            <w:shd w:val="clear" w:color="auto" w:fill="FFFFFF" w:themeFill="background1"/>
          </w:tcPr>
          <w:p w14:paraId="72653576" w14:textId="1A082DB2" w:rsidR="00472715" w:rsidRPr="00520C23" w:rsidRDefault="00472715" w:rsidP="00472715">
            <w:pPr>
              <w:spacing w:before="120"/>
              <w:rPr>
                <w:rFonts w:cstheme="minorHAnsi"/>
                <w:i/>
                <w:iCs/>
              </w:rPr>
            </w:pPr>
            <w:r w:rsidRPr="0019095D">
              <w:rPr>
                <w:rFonts w:cstheme="minorHAnsi"/>
                <w:i/>
                <w:iCs/>
              </w:rPr>
              <w:t>That gas companies provide the necessary funds to ensure the ongoing maintenance requirements for road infrastructure are met for the life of any onshore shale gas project. These should be based on the individual gas company’s percentage of tonnage hauled along the roads.</w:t>
            </w:r>
          </w:p>
        </w:tc>
        <w:tc>
          <w:tcPr>
            <w:tcW w:w="11430" w:type="dxa"/>
            <w:gridSpan w:val="2"/>
            <w:shd w:val="clear" w:color="auto" w:fill="FFFFFF" w:themeFill="background1"/>
          </w:tcPr>
          <w:p w14:paraId="5382E016" w14:textId="77777777" w:rsidR="00472715" w:rsidRDefault="00472715" w:rsidP="00472715">
            <w:pPr>
              <w:rPr>
                <w:rFonts w:cstheme="minorHAnsi"/>
                <w:lang w:val="en-US"/>
              </w:rPr>
            </w:pPr>
            <w:r w:rsidRPr="00EC0C57">
              <w:rPr>
                <w:rFonts w:cstheme="minorHAnsi"/>
                <w:lang w:val="en-US"/>
              </w:rPr>
              <w:t>The intent of the Recommendation 12.9 is to address the risk of an unacceptable increase in heavy-vehicle traffic impacting the maintenance of public road infrastructure in the Beetaloo Sub-basin.</w:t>
            </w:r>
          </w:p>
          <w:p w14:paraId="5EDB97D0" w14:textId="77777777" w:rsidR="00472715" w:rsidRPr="00EC0C57" w:rsidRDefault="00472715" w:rsidP="00472715">
            <w:pPr>
              <w:rPr>
                <w:rFonts w:cstheme="minorHAnsi"/>
                <w:lang w:val="en-US"/>
              </w:rPr>
            </w:pPr>
          </w:p>
          <w:p w14:paraId="295BEF04" w14:textId="77777777" w:rsidR="00472715" w:rsidRDefault="00472715" w:rsidP="00472715">
            <w:pPr>
              <w:rPr>
                <w:rFonts w:cstheme="minorHAnsi"/>
                <w:lang w:val="en-US"/>
              </w:rPr>
            </w:pPr>
            <w:r w:rsidRPr="00EC0C57">
              <w:rPr>
                <w:rFonts w:cstheme="minorHAnsi"/>
                <w:lang w:val="en-US"/>
              </w:rPr>
              <w:t>DIPL has taken the following measures to substantially mitigate the level of risk outlined in Recommendation 12.9:</w:t>
            </w:r>
          </w:p>
          <w:p w14:paraId="46ED27DF" w14:textId="77777777" w:rsidR="00472715" w:rsidRPr="00EC0C57" w:rsidRDefault="00472715" w:rsidP="00472715">
            <w:pPr>
              <w:rPr>
                <w:rFonts w:cstheme="minorHAnsi"/>
                <w:lang w:val="en-US"/>
              </w:rPr>
            </w:pPr>
          </w:p>
          <w:p w14:paraId="131F716D" w14:textId="77777777" w:rsidR="00472715" w:rsidRPr="00EC0C57" w:rsidRDefault="00472715" w:rsidP="00472715">
            <w:pPr>
              <w:numPr>
                <w:ilvl w:val="0"/>
                <w:numId w:val="107"/>
              </w:numPr>
              <w:rPr>
                <w:rFonts w:cstheme="minorHAnsi"/>
                <w:lang w:val="en-US"/>
              </w:rPr>
            </w:pPr>
            <w:r w:rsidRPr="00EC0C57">
              <w:rPr>
                <w:rFonts w:cstheme="minorHAnsi"/>
                <w:lang w:val="en-US"/>
              </w:rPr>
              <w:t>The securing of $367M in funding for upgrade works to all public roads in the Beetaloo Sub-basin will significantly mitigate the level of maintenance requirement should heavy vehicle traffic be introduced under a high growth scenario.</w:t>
            </w:r>
          </w:p>
          <w:p w14:paraId="384F2D27" w14:textId="77777777" w:rsidR="00472715" w:rsidRPr="00EC0C57" w:rsidRDefault="00472715" w:rsidP="00472715">
            <w:pPr>
              <w:numPr>
                <w:ilvl w:val="0"/>
                <w:numId w:val="107"/>
              </w:numPr>
              <w:rPr>
                <w:rFonts w:cstheme="minorHAnsi"/>
                <w:lang w:val="en-US"/>
              </w:rPr>
            </w:pPr>
            <w:r w:rsidRPr="00EC0C57">
              <w:rPr>
                <w:rFonts w:cstheme="minorHAnsi"/>
                <w:lang w:val="en-US"/>
              </w:rPr>
              <w:t>Baseline data underpinning growth scenarios under the Beetaloo were analysed by DIPL through the studies outlined below:</w:t>
            </w:r>
          </w:p>
          <w:p w14:paraId="508400BE" w14:textId="77777777" w:rsidR="00472715" w:rsidRPr="00EC0C57" w:rsidRDefault="00F90BAA" w:rsidP="00472715">
            <w:pPr>
              <w:numPr>
                <w:ilvl w:val="1"/>
                <w:numId w:val="107"/>
              </w:numPr>
              <w:rPr>
                <w:rFonts w:cstheme="minorHAnsi"/>
                <w:lang w:val="en-US"/>
              </w:rPr>
            </w:pPr>
            <w:hyperlink r:id="rId70" w:tgtFrame="_blank" w:history="1">
              <w:r w:rsidR="00472715" w:rsidRPr="00EC0C57">
                <w:rPr>
                  <w:rStyle w:val="Hyperlink"/>
                  <w:rFonts w:cstheme="minorHAnsi"/>
                  <w:lang w:val="en-US"/>
                </w:rPr>
                <w:t>Mapping future transport for improved planning and operation – GISERA (csiro.au)</w:t>
              </w:r>
            </w:hyperlink>
          </w:p>
          <w:p w14:paraId="731D4F1D" w14:textId="77777777" w:rsidR="00472715" w:rsidRPr="00EC0C57" w:rsidRDefault="00F90BAA" w:rsidP="00472715">
            <w:pPr>
              <w:numPr>
                <w:ilvl w:val="1"/>
                <w:numId w:val="107"/>
              </w:numPr>
              <w:rPr>
                <w:rFonts w:cstheme="minorHAnsi"/>
                <w:lang w:val="en-US"/>
              </w:rPr>
            </w:pPr>
            <w:hyperlink r:id="rId71" w:tgtFrame="_blank" w:history="1">
              <w:r w:rsidR="00472715" w:rsidRPr="00EC0C57">
                <w:rPr>
                  <w:rStyle w:val="Hyperlink"/>
                  <w:rFonts w:cstheme="minorHAnsi"/>
                  <w:lang w:val="en-US"/>
                </w:rPr>
                <w:t>Analysis of Infrastructure and Logistics Requirements for the Development of an Onshore Oil and Gas Industry in the Northern Territory</w:t>
              </w:r>
            </w:hyperlink>
          </w:p>
          <w:p w14:paraId="4671006C" w14:textId="77777777" w:rsidR="00472715" w:rsidRDefault="00472715" w:rsidP="00472715">
            <w:pPr>
              <w:rPr>
                <w:rFonts w:cstheme="minorHAnsi"/>
                <w:lang w:val="en-US"/>
              </w:rPr>
            </w:pPr>
          </w:p>
          <w:p w14:paraId="782A16DB" w14:textId="77777777" w:rsidR="00472715" w:rsidRPr="00EC0C57" w:rsidRDefault="00472715" w:rsidP="00472715">
            <w:pPr>
              <w:rPr>
                <w:rFonts w:cstheme="minorHAnsi"/>
                <w:lang w:val="en-US"/>
              </w:rPr>
            </w:pPr>
            <w:r w:rsidRPr="00EC0C57">
              <w:rPr>
                <w:rFonts w:cstheme="minorHAnsi"/>
                <w:lang w:val="en-US"/>
              </w:rPr>
              <w:t>In consideration of the residual maintenance risk, DIPL has recommended the consideration of a national system for heavy vehicle charging, which is currently being accelerated for implementation through the Infrastructure and Transport Minister’s Council.</w:t>
            </w:r>
          </w:p>
          <w:p w14:paraId="134EA7C3" w14:textId="77777777" w:rsidR="00472715" w:rsidRPr="00520C23" w:rsidRDefault="00472715" w:rsidP="00472715">
            <w:pPr>
              <w:spacing w:before="120"/>
              <w:rPr>
                <w:rFonts w:cstheme="minorHAnsi"/>
              </w:rPr>
            </w:pPr>
          </w:p>
        </w:tc>
        <w:tc>
          <w:tcPr>
            <w:tcW w:w="5310" w:type="dxa"/>
            <w:shd w:val="clear" w:color="auto" w:fill="FECAD1"/>
          </w:tcPr>
          <w:p w14:paraId="4B869465" w14:textId="4223D0A1" w:rsidR="00472715" w:rsidRPr="002C6759" w:rsidRDefault="00472715" w:rsidP="00472715">
            <w:pPr>
              <w:spacing w:before="120"/>
              <w:rPr>
                <w:rFonts w:cstheme="minorHAnsi"/>
              </w:rPr>
            </w:pPr>
            <w:r>
              <w:rPr>
                <w:rFonts w:cstheme="minorHAnsi"/>
              </w:rPr>
              <w:t>This recommendation has not been implemented. DIPL has only “</w:t>
            </w:r>
            <w:r>
              <w:rPr>
                <w:rFonts w:cstheme="minorHAnsi"/>
                <w:i/>
                <w:iCs/>
              </w:rPr>
              <w:t xml:space="preserve">recommended </w:t>
            </w:r>
            <w:r>
              <w:rPr>
                <w:rFonts w:cstheme="minorHAnsi"/>
              </w:rPr>
              <w:t xml:space="preserve">the consideration of a national system for heavy vehicle charging,” and it is not clear whether this system will be based on tonnage hauled along the roads. </w:t>
            </w:r>
          </w:p>
        </w:tc>
      </w:tr>
      <w:tr w:rsidR="00472715" w:rsidRPr="00520C23" w14:paraId="659F1DCB" w14:textId="77777777" w:rsidTr="00EA3C33">
        <w:tc>
          <w:tcPr>
            <w:tcW w:w="846" w:type="dxa"/>
            <w:shd w:val="clear" w:color="auto" w:fill="auto"/>
          </w:tcPr>
          <w:p w14:paraId="1FA1BDBC" w14:textId="23BFD3A7" w:rsidR="00472715" w:rsidRPr="00520C23" w:rsidRDefault="00472715" w:rsidP="00472715">
            <w:pPr>
              <w:spacing w:before="120"/>
              <w:jc w:val="center"/>
              <w:rPr>
                <w:rFonts w:cstheme="minorHAnsi"/>
              </w:rPr>
            </w:pPr>
            <w:r w:rsidRPr="00520C23">
              <w:rPr>
                <w:rFonts w:cstheme="minorHAnsi"/>
              </w:rPr>
              <w:t>12.10</w:t>
            </w:r>
          </w:p>
        </w:tc>
        <w:tc>
          <w:tcPr>
            <w:tcW w:w="4819" w:type="dxa"/>
            <w:shd w:val="clear" w:color="auto" w:fill="FFFFFF" w:themeFill="background1"/>
          </w:tcPr>
          <w:p w14:paraId="1AF8A4E0" w14:textId="1127650B" w:rsidR="00472715" w:rsidRPr="00520C23" w:rsidRDefault="00472715" w:rsidP="00472715">
            <w:pPr>
              <w:spacing w:before="120"/>
              <w:rPr>
                <w:rFonts w:cstheme="minorHAnsi"/>
                <w:i/>
                <w:iCs/>
              </w:rPr>
            </w:pPr>
            <w:r w:rsidRPr="00520C23">
              <w:rPr>
                <w:rFonts w:cstheme="minorHAnsi"/>
                <w:i/>
                <w:iCs/>
              </w:rPr>
              <w:t>That road use agreements between gas companies and local NT road authorities be mandated to include safety considerations and to ensure monitoring for compliance and reporting requirements.</w:t>
            </w:r>
          </w:p>
        </w:tc>
        <w:tc>
          <w:tcPr>
            <w:tcW w:w="11430" w:type="dxa"/>
            <w:gridSpan w:val="2"/>
            <w:shd w:val="clear" w:color="auto" w:fill="FFFFFF" w:themeFill="background1"/>
          </w:tcPr>
          <w:p w14:paraId="72D13B55" w14:textId="2F5C1364" w:rsidR="00472715" w:rsidRPr="00520C23" w:rsidRDefault="00472715" w:rsidP="00472715">
            <w:pPr>
              <w:spacing w:before="120"/>
              <w:rPr>
                <w:rFonts w:cstheme="minorHAnsi"/>
                <w:b/>
                <w:bCs/>
                <w:i/>
                <w:iCs/>
              </w:rPr>
            </w:pPr>
            <w:r w:rsidRPr="00520C23">
              <w:rPr>
                <w:rFonts w:cstheme="minorHAnsi"/>
              </w:rPr>
              <w:t>As part of the review of the onshore gas industry Environmental Management Plans; the Department of Infrastructure, Planning and Logistics reviews activities, assesses the risk to existing and future transport infrastructure and road user safety; and liaises directly with proponents to ensure appropriate mitigation and monitoring measures are in place, prior to issuing road agency approvals. This includes assessment and approval of Traffic Impact Assessments and Traffic Management Plans, review and approval of all engineering and design proposals for upgrades to the existing Territory road network or new intersection proposals and monitor and accept construction works of approved accesses or intersections.</w:t>
            </w:r>
          </w:p>
        </w:tc>
        <w:tc>
          <w:tcPr>
            <w:tcW w:w="5310" w:type="dxa"/>
            <w:shd w:val="clear" w:color="auto" w:fill="E2EFD9" w:themeFill="accent6" w:themeFillTint="33"/>
          </w:tcPr>
          <w:p w14:paraId="5FDE1381" w14:textId="7A60A63C" w:rsidR="00472715" w:rsidRPr="00520C23" w:rsidRDefault="00472715" w:rsidP="00472715">
            <w:pPr>
              <w:spacing w:before="120"/>
              <w:rPr>
                <w:rFonts w:cstheme="minorHAnsi"/>
              </w:rPr>
            </w:pPr>
            <w:r>
              <w:rPr>
                <w:rFonts w:cstheme="minorHAnsi"/>
              </w:rPr>
              <w:t xml:space="preserve">This recommendation has been adequately addressed. </w:t>
            </w:r>
            <w:r w:rsidRPr="00520C23">
              <w:rPr>
                <w:rFonts w:cstheme="minorHAnsi"/>
              </w:rPr>
              <w:t xml:space="preserve">The Department of Infrastructure, Planning and Logistics will work directly with proponents to ensure monitoring measures are included in Environmental Management Plans. That said, the sufficiency of monitoring and reporting requirements would have to be assessed on a case-by-case basis. </w:t>
            </w:r>
          </w:p>
        </w:tc>
      </w:tr>
      <w:tr w:rsidR="00EA3C33" w:rsidRPr="00520C23" w14:paraId="6BDAC9C4" w14:textId="77777777" w:rsidTr="00EA3C33">
        <w:tc>
          <w:tcPr>
            <w:tcW w:w="846" w:type="dxa"/>
            <w:shd w:val="clear" w:color="auto" w:fill="auto"/>
          </w:tcPr>
          <w:p w14:paraId="32B26524" w14:textId="0FE9BB50" w:rsidR="00472715" w:rsidRPr="00520C23" w:rsidRDefault="00472715" w:rsidP="00472715">
            <w:pPr>
              <w:spacing w:before="120"/>
              <w:jc w:val="center"/>
              <w:rPr>
                <w:rFonts w:cstheme="minorHAnsi"/>
              </w:rPr>
            </w:pPr>
            <w:r>
              <w:rPr>
                <w:rFonts w:cstheme="minorHAnsi"/>
              </w:rPr>
              <w:t>12.12</w:t>
            </w:r>
          </w:p>
        </w:tc>
        <w:tc>
          <w:tcPr>
            <w:tcW w:w="4819" w:type="dxa"/>
            <w:shd w:val="clear" w:color="auto" w:fill="FFFFFF" w:themeFill="background1"/>
          </w:tcPr>
          <w:p w14:paraId="00DEDC5D" w14:textId="2C7E4650" w:rsidR="00472715" w:rsidRPr="00520C23" w:rsidRDefault="00472715" w:rsidP="00472715">
            <w:pPr>
              <w:spacing w:before="120"/>
              <w:rPr>
                <w:rFonts w:cstheme="minorHAnsi"/>
                <w:i/>
                <w:iCs/>
              </w:rPr>
            </w:pPr>
            <w:r w:rsidRPr="003A5F92">
              <w:rPr>
                <w:rFonts w:cstheme="minorHAnsi"/>
                <w:i/>
                <w:iCs/>
              </w:rPr>
              <w:t>That any strategic SIA anticipate the long-term impacts and requirements for housing (not just through the construction phase) to adequately mitigate the risk of inflated real estate prices and shortages within a community.</w:t>
            </w:r>
          </w:p>
        </w:tc>
        <w:tc>
          <w:tcPr>
            <w:tcW w:w="5760" w:type="dxa"/>
            <w:shd w:val="clear" w:color="auto" w:fill="FFFFFF" w:themeFill="background1"/>
          </w:tcPr>
          <w:p w14:paraId="1D49CA8A" w14:textId="77777777" w:rsidR="00472715" w:rsidRPr="001D1D79" w:rsidRDefault="00472715" w:rsidP="00472715">
            <w:pPr>
              <w:spacing w:before="120"/>
              <w:rPr>
                <w:rFonts w:cstheme="minorHAnsi"/>
                <w:lang w:val="en-US"/>
              </w:rPr>
            </w:pPr>
            <w:r w:rsidRPr="001D1D79">
              <w:rPr>
                <w:rFonts w:cstheme="minorHAnsi"/>
                <w:lang w:val="en-US"/>
              </w:rPr>
              <w:t>The intent of Recommendation 12.12 is that at a project level, proponents will be responsible for conducting a social impacts assessment prior to production approvals being granted. To support this work, regional indicators will be established as part of the baseline data being compiled by the NT Government (through CM&amp;C) under the Strategic Regional Environmental and Baseline Assessment (SREBA).</w:t>
            </w:r>
          </w:p>
          <w:p w14:paraId="32EBD4EB" w14:textId="77777777" w:rsidR="00472715" w:rsidRPr="001D1D79" w:rsidRDefault="00472715" w:rsidP="00472715">
            <w:pPr>
              <w:spacing w:before="120"/>
              <w:rPr>
                <w:rFonts w:cstheme="minorHAnsi"/>
                <w:lang w:val="en-US"/>
              </w:rPr>
            </w:pPr>
            <w:r w:rsidRPr="001D1D79">
              <w:rPr>
                <w:rFonts w:cstheme="minorHAnsi"/>
                <w:lang w:val="en-US"/>
              </w:rPr>
              <w:t xml:space="preserve">Given this context, there is no direct action remaining for DIPL to complete Recommendation 12.12, noting that DIPL has developed baseline data for housing and land supply to </w:t>
            </w:r>
            <w:r w:rsidRPr="001D1D79">
              <w:rPr>
                <w:rFonts w:cstheme="minorHAnsi"/>
                <w:lang w:val="en-US"/>
              </w:rPr>
              <w:lastRenderedPageBreak/>
              <w:t>assist proponents in their social impact assessment by completing an independent review of land development requirements in Darwin, Alice Springs, Katherine and Tennant Creek, the February 2022 'Bringing Land to Market Report by Dick Guit OAM</w:t>
            </w:r>
            <w:r w:rsidRPr="001D1D79">
              <w:rPr>
                <w:rFonts w:cstheme="minorHAnsi"/>
                <w:i/>
                <w:iCs/>
                <w:lang w:val="en-US"/>
              </w:rPr>
              <w:t>'</w:t>
            </w:r>
            <w:r w:rsidRPr="001D1D79">
              <w:rPr>
                <w:rFonts w:cstheme="minorHAnsi"/>
                <w:lang w:val="en-US"/>
              </w:rPr>
              <w:t> (the Dick Guit review).</w:t>
            </w:r>
          </w:p>
          <w:p w14:paraId="1C540B79" w14:textId="77777777" w:rsidR="00472715" w:rsidRPr="001D1D79" w:rsidRDefault="00472715" w:rsidP="00472715">
            <w:pPr>
              <w:spacing w:before="120"/>
              <w:rPr>
                <w:rFonts w:cstheme="minorHAnsi"/>
                <w:lang w:val="en-US"/>
              </w:rPr>
            </w:pPr>
            <w:r w:rsidRPr="001D1D79">
              <w:rPr>
                <w:rFonts w:cstheme="minorHAnsi"/>
                <w:lang w:val="en-US"/>
              </w:rPr>
              <w:t>Gas industry proponents will be responsible for assessing project-specific impacts and requirements for housing to mitigate potential price inflation and supply risks.</w:t>
            </w:r>
          </w:p>
          <w:p w14:paraId="6E62A7A2" w14:textId="77777777" w:rsidR="00472715" w:rsidRDefault="00472715" w:rsidP="00472715">
            <w:pPr>
              <w:spacing w:before="120"/>
              <w:rPr>
                <w:rFonts w:cstheme="minorHAnsi"/>
                <w:lang w:val="en-US"/>
              </w:rPr>
            </w:pPr>
            <w:r w:rsidRPr="001D1D79">
              <w:rPr>
                <w:rFonts w:cstheme="minorHAnsi"/>
                <w:lang w:val="en-US"/>
              </w:rPr>
              <w:t>To support these assessments, adequate baseline data will be available to through the outputs of the following work:</w:t>
            </w:r>
          </w:p>
          <w:p w14:paraId="285221AF" w14:textId="77777777" w:rsidR="00472715" w:rsidRPr="001D1D79" w:rsidRDefault="00472715" w:rsidP="00472715">
            <w:pPr>
              <w:numPr>
                <w:ilvl w:val="0"/>
                <w:numId w:val="108"/>
              </w:numPr>
              <w:spacing w:before="120"/>
              <w:rPr>
                <w:rFonts w:cstheme="minorHAnsi"/>
                <w:lang w:val="en-US"/>
              </w:rPr>
            </w:pPr>
            <w:r w:rsidRPr="001D1D79">
              <w:rPr>
                <w:rFonts w:cstheme="minorHAnsi"/>
                <w:lang w:val="en-US"/>
              </w:rPr>
              <w:t>the Dick Guit review; and</w:t>
            </w:r>
          </w:p>
          <w:p w14:paraId="72522656" w14:textId="77777777" w:rsidR="00472715" w:rsidRDefault="00472715" w:rsidP="00472715">
            <w:pPr>
              <w:numPr>
                <w:ilvl w:val="0"/>
                <w:numId w:val="108"/>
              </w:numPr>
              <w:spacing w:before="120"/>
              <w:rPr>
                <w:rFonts w:cstheme="minorHAnsi"/>
                <w:lang w:val="en-US"/>
              </w:rPr>
            </w:pPr>
            <w:r w:rsidRPr="001D1D79">
              <w:rPr>
                <w:rFonts w:cstheme="minorHAnsi"/>
                <w:lang w:val="en-US"/>
              </w:rPr>
              <w:t>ongoing regional economic growth plans across the Big Rivers and Barkly regions, and the Katherine housing demand and supply study, coordinated by CM&amp;C.</w:t>
            </w:r>
          </w:p>
          <w:p w14:paraId="1E54B21E" w14:textId="05679880" w:rsidR="00472715" w:rsidRPr="00123099" w:rsidRDefault="00472715" w:rsidP="00472715">
            <w:pPr>
              <w:spacing w:before="120"/>
              <w:ind w:left="720"/>
              <w:rPr>
                <w:rFonts w:cstheme="minorHAnsi"/>
                <w:lang w:val="en-US"/>
              </w:rPr>
            </w:pPr>
          </w:p>
        </w:tc>
        <w:tc>
          <w:tcPr>
            <w:tcW w:w="5670" w:type="dxa"/>
            <w:shd w:val="clear" w:color="auto" w:fill="FFFFFF" w:themeFill="background1"/>
          </w:tcPr>
          <w:p w14:paraId="2A6FED7A" w14:textId="77777777" w:rsidR="00472715" w:rsidRDefault="00472715" w:rsidP="00472715">
            <w:pPr>
              <w:spacing w:before="120"/>
              <w:rPr>
                <w:rFonts w:cstheme="minorHAnsi"/>
                <w:lang w:val="en-US"/>
              </w:rPr>
            </w:pPr>
            <w:r>
              <w:rPr>
                <w:rFonts w:cstheme="minorHAnsi"/>
                <w:lang w:val="en-US"/>
              </w:rPr>
              <w:lastRenderedPageBreak/>
              <w:t>The “</w:t>
            </w:r>
            <w:hyperlink r:id="rId72" w:history="1">
              <w:r w:rsidRPr="0098568C">
                <w:rPr>
                  <w:rStyle w:val="Hyperlink"/>
                  <w:rFonts w:cstheme="minorHAnsi"/>
                  <w:lang w:val="en-US"/>
                </w:rPr>
                <w:t>Bringing Land to Market Report</w:t>
              </w:r>
            </w:hyperlink>
            <w:r>
              <w:rPr>
                <w:rFonts w:cstheme="minorHAnsi"/>
                <w:lang w:val="en-US"/>
              </w:rPr>
              <w:t xml:space="preserve">” provides recommendations on sustainable provision of land that “make the development journey more effective and efficient” (page 7). Recommendation 7 discusses land for affordable and social housing (page 26).  </w:t>
            </w:r>
          </w:p>
          <w:p w14:paraId="189F894C" w14:textId="77777777" w:rsidR="00682181" w:rsidRDefault="00682181" w:rsidP="00682181">
            <w:pPr>
              <w:spacing w:before="120"/>
              <w:rPr>
                <w:rFonts w:cstheme="minorHAnsi"/>
              </w:rPr>
            </w:pPr>
            <w:r w:rsidRPr="00B65A8F">
              <w:rPr>
                <w:rFonts w:cstheme="minorHAnsi"/>
              </w:rPr>
              <w:t xml:space="preserve">The University of Queensland (UQ) conducted the Social, Cultural and Economic (SCE) SREBA studies with a specialist team of UQ researchers and NT-based local researchers. Methodology and results from the social, cultural, and economic baseline studies included in the SREBA can be </w:t>
            </w:r>
            <w:r w:rsidRPr="00B65A8F">
              <w:rPr>
                <w:rFonts w:cstheme="minorHAnsi"/>
              </w:rPr>
              <w:lastRenderedPageBreak/>
              <w:t>accessed at the SREBA Data Catalogue (uploaded 30-12-22). These include the SREBA Beetaloo Social, Cultural, and Economic Studies baseline report, the SREBA Beetaloo Social, Cultural, and Economic Community Profiles report, and the SREBA Beetaloo Social, Cultural, and Economic Appendix C – Cultural practices in water report.</w:t>
            </w:r>
          </w:p>
          <w:p w14:paraId="00B89DCD" w14:textId="3B6846C6" w:rsidR="00682181" w:rsidRPr="00F90BAA" w:rsidRDefault="00682181" w:rsidP="00472715">
            <w:pPr>
              <w:spacing w:before="120"/>
              <w:rPr>
                <w:rFonts w:cstheme="minorHAnsi"/>
              </w:rPr>
            </w:pPr>
          </w:p>
        </w:tc>
        <w:tc>
          <w:tcPr>
            <w:tcW w:w="5310" w:type="dxa"/>
            <w:shd w:val="clear" w:color="auto" w:fill="FFF2CC" w:themeFill="accent4" w:themeFillTint="33"/>
          </w:tcPr>
          <w:p w14:paraId="2BFA8857" w14:textId="4497D2F2" w:rsidR="00472715" w:rsidRDefault="00472715" w:rsidP="00472715">
            <w:pPr>
              <w:spacing w:before="120"/>
              <w:rPr>
                <w:rFonts w:cstheme="minorHAnsi"/>
              </w:rPr>
            </w:pPr>
            <w:r>
              <w:rPr>
                <w:rFonts w:cstheme="minorHAnsi"/>
              </w:rPr>
              <w:lastRenderedPageBreak/>
              <w:t>This recommendation has been partially implemented.</w:t>
            </w:r>
          </w:p>
          <w:p w14:paraId="490C9792" w14:textId="0F2C27AB" w:rsidR="00472715" w:rsidRDefault="00472715" w:rsidP="00472715">
            <w:pPr>
              <w:spacing w:before="120"/>
              <w:rPr>
                <w:rFonts w:cstheme="minorHAnsi"/>
              </w:rPr>
            </w:pPr>
            <w:r>
              <w:rPr>
                <w:rFonts w:cstheme="minorHAnsi"/>
              </w:rPr>
              <w:t>The Pepper Report notes that “[a]</w:t>
            </w:r>
            <w:r w:rsidRPr="001B56FE">
              <w:rPr>
                <w:rFonts w:cstheme="minorHAnsi"/>
              </w:rPr>
              <w:t xml:space="preserve"> government-led</w:t>
            </w:r>
            <w:r>
              <w:rPr>
                <w:rFonts w:cstheme="minorHAnsi"/>
              </w:rPr>
              <w:t xml:space="preserve"> </w:t>
            </w:r>
            <w:r w:rsidRPr="001B56FE">
              <w:rPr>
                <w:rFonts w:cstheme="minorHAnsi"/>
              </w:rPr>
              <w:t>strategic SIA should be conducted in the early stages of any industry development, once</w:t>
            </w:r>
            <w:r>
              <w:rPr>
                <w:rFonts w:cstheme="minorHAnsi"/>
              </w:rPr>
              <w:t xml:space="preserve"> </w:t>
            </w:r>
            <w:r w:rsidRPr="001B56FE">
              <w:rPr>
                <w:rFonts w:cstheme="minorHAnsi"/>
              </w:rPr>
              <w:t>feasibility has been established</w:t>
            </w:r>
            <w:r>
              <w:rPr>
                <w:rFonts w:cstheme="minorHAnsi"/>
              </w:rPr>
              <w:t xml:space="preserve">.” Pepper Report at 301. </w:t>
            </w:r>
          </w:p>
          <w:p w14:paraId="75DAC0FC" w14:textId="2D9F84C9" w:rsidR="00472715" w:rsidRDefault="00472715" w:rsidP="00472715">
            <w:pPr>
              <w:spacing w:before="120"/>
              <w:rPr>
                <w:rFonts w:cstheme="minorHAnsi"/>
              </w:rPr>
            </w:pPr>
            <w:r>
              <w:rPr>
                <w:rFonts w:cstheme="minorHAnsi"/>
              </w:rPr>
              <w:t>As written, the recommendation appears to call for more than just a baseline assessment from the government, requiring analysis of long-term impacts and mitigation measures to manage the risk of inflated real estate prices and shortages.</w:t>
            </w:r>
            <w:r w:rsidR="003764CA">
              <w:rPr>
                <w:rFonts w:cstheme="minorHAnsi"/>
              </w:rPr>
              <w:t xml:space="preserve"> The “Bringing Land to </w:t>
            </w:r>
            <w:r w:rsidR="003764CA">
              <w:rPr>
                <w:rFonts w:cstheme="minorHAnsi"/>
              </w:rPr>
              <w:lastRenderedPageBreak/>
              <w:t>Market Report” provides some “baseline data for housing and land supply</w:t>
            </w:r>
            <w:r w:rsidR="00E2374C">
              <w:rPr>
                <w:rFonts w:cstheme="minorHAnsi"/>
              </w:rPr>
              <w:t>.</w:t>
            </w:r>
            <w:r w:rsidR="003764CA">
              <w:rPr>
                <w:rFonts w:cstheme="minorHAnsi"/>
              </w:rPr>
              <w:t xml:space="preserve">” </w:t>
            </w:r>
          </w:p>
          <w:p w14:paraId="594A1099" w14:textId="48EF973E" w:rsidR="00B65A8F" w:rsidRPr="00B65A8F" w:rsidRDefault="00B65A8F" w:rsidP="00B65A8F">
            <w:pPr>
              <w:spacing w:before="120"/>
              <w:rPr>
                <w:rFonts w:cstheme="minorHAnsi"/>
              </w:rPr>
            </w:pPr>
            <w:r w:rsidRPr="00B65A8F">
              <w:rPr>
                <w:rFonts w:cstheme="minorHAnsi"/>
              </w:rPr>
              <w:t xml:space="preserve">The SREBA social, cultural, and economic baseline study results are </w:t>
            </w:r>
            <w:r w:rsidR="001F1163">
              <w:rPr>
                <w:rFonts w:cstheme="minorHAnsi"/>
              </w:rPr>
              <w:t>now</w:t>
            </w:r>
            <w:r w:rsidRPr="00B65A8F">
              <w:rPr>
                <w:rFonts w:cstheme="minorHAnsi"/>
              </w:rPr>
              <w:t xml:space="preserve"> available to support project-level social impacts assessments</w:t>
            </w:r>
            <w:r w:rsidR="00B405F7">
              <w:rPr>
                <w:rFonts w:cstheme="minorHAnsi"/>
              </w:rPr>
              <w:t>, but they remain insufficient</w:t>
            </w:r>
            <w:r w:rsidR="003B77D0">
              <w:rPr>
                <w:rFonts w:cstheme="minorHAnsi"/>
              </w:rPr>
              <w:t xml:space="preserve"> to </w:t>
            </w:r>
            <w:r w:rsidR="001D73D7">
              <w:rPr>
                <w:rFonts w:cstheme="minorHAnsi"/>
              </w:rPr>
              <w:t xml:space="preserve">fully </w:t>
            </w:r>
            <w:r w:rsidR="003B77D0">
              <w:rPr>
                <w:rFonts w:cstheme="minorHAnsi"/>
              </w:rPr>
              <w:t xml:space="preserve">address </w:t>
            </w:r>
            <w:r w:rsidR="00B35C59">
              <w:rPr>
                <w:rFonts w:cstheme="minorHAnsi"/>
              </w:rPr>
              <w:t>this recommendation</w:t>
            </w:r>
            <w:r w:rsidRPr="00B65A8F">
              <w:rPr>
                <w:rFonts w:cstheme="minorHAnsi"/>
              </w:rPr>
              <w:t xml:space="preserve">. </w:t>
            </w:r>
          </w:p>
          <w:p w14:paraId="458A75EC" w14:textId="501B6010" w:rsidR="00A667EA" w:rsidRDefault="003E1CAD" w:rsidP="00472715">
            <w:pPr>
              <w:spacing w:before="120"/>
              <w:rPr>
                <w:rFonts w:cstheme="minorHAnsi"/>
              </w:rPr>
            </w:pPr>
            <w:r>
              <w:rPr>
                <w:rFonts w:cstheme="minorHAnsi"/>
              </w:rPr>
              <w:t>Although</w:t>
            </w:r>
            <w:r w:rsidR="00B552C1" w:rsidRPr="00B552C1">
              <w:rPr>
                <w:rFonts w:cstheme="minorHAnsi"/>
              </w:rPr>
              <w:t xml:space="preserve"> the S</w:t>
            </w:r>
            <w:r>
              <w:rPr>
                <w:rFonts w:cstheme="minorHAnsi"/>
              </w:rPr>
              <w:t>REBA</w:t>
            </w:r>
            <w:r w:rsidR="00B552C1" w:rsidRPr="00B552C1">
              <w:rPr>
                <w:rFonts w:cstheme="minorHAnsi"/>
              </w:rPr>
              <w:t xml:space="preserve"> SCE reports </w:t>
            </w:r>
            <w:r w:rsidR="00A6420B">
              <w:rPr>
                <w:rFonts w:cstheme="minorHAnsi"/>
              </w:rPr>
              <w:t xml:space="preserve">that </w:t>
            </w:r>
            <w:r w:rsidR="00B552C1" w:rsidRPr="00B552C1">
              <w:rPr>
                <w:rFonts w:cstheme="minorHAnsi"/>
              </w:rPr>
              <w:t>many communities have concerns about housing shortages and inflated housing price risks, there is no comprehensive evaluation in the reports on long-term impacts and mitigation measures to manage the risks of inflated real estate prices and shortages due to gas infrastructure development.</w:t>
            </w:r>
          </w:p>
        </w:tc>
      </w:tr>
      <w:tr w:rsidR="00472715" w:rsidRPr="00520C23" w14:paraId="7D437780" w14:textId="77777777" w:rsidTr="00EA3C33">
        <w:tc>
          <w:tcPr>
            <w:tcW w:w="846" w:type="dxa"/>
            <w:shd w:val="clear" w:color="auto" w:fill="auto"/>
          </w:tcPr>
          <w:p w14:paraId="2446DE19" w14:textId="68D653DD" w:rsidR="00472715" w:rsidRPr="00520C23" w:rsidRDefault="00472715" w:rsidP="00472715">
            <w:pPr>
              <w:spacing w:before="120"/>
              <w:jc w:val="center"/>
              <w:rPr>
                <w:rFonts w:cstheme="minorHAnsi"/>
              </w:rPr>
            </w:pPr>
            <w:r w:rsidRPr="00520C23">
              <w:rPr>
                <w:rFonts w:cstheme="minorHAnsi"/>
              </w:rPr>
              <w:lastRenderedPageBreak/>
              <w:t>12.14</w:t>
            </w:r>
          </w:p>
        </w:tc>
        <w:tc>
          <w:tcPr>
            <w:tcW w:w="4819" w:type="dxa"/>
            <w:shd w:val="clear" w:color="auto" w:fill="FFFFFF" w:themeFill="background1"/>
          </w:tcPr>
          <w:p w14:paraId="4DC32765" w14:textId="015C4019" w:rsidR="00472715" w:rsidRPr="00520C23" w:rsidRDefault="00472715" w:rsidP="00472715">
            <w:pPr>
              <w:spacing w:before="120"/>
              <w:rPr>
                <w:rFonts w:cstheme="minorHAnsi"/>
                <w:i/>
                <w:iCs/>
              </w:rPr>
            </w:pPr>
            <w:r w:rsidRPr="00520C23">
              <w:rPr>
                <w:rFonts w:cstheme="minorHAnsi"/>
                <w:i/>
                <w:iCs/>
              </w:rPr>
              <w:t>That to the extent practicable, gas companies be required to source goods, services and workers from local communities. This must include the development of training programs for Aboriginal and other local workers to develop the necessary skills and expertise to maximise opportunities for local Environment Management Plan in any onshore shale gas industry.</w:t>
            </w:r>
          </w:p>
        </w:tc>
        <w:tc>
          <w:tcPr>
            <w:tcW w:w="11430" w:type="dxa"/>
            <w:gridSpan w:val="2"/>
            <w:shd w:val="clear" w:color="auto" w:fill="FFFFFF" w:themeFill="background1"/>
          </w:tcPr>
          <w:p w14:paraId="4B13A765" w14:textId="77777777" w:rsidR="00472715" w:rsidRPr="004212A7" w:rsidRDefault="00472715" w:rsidP="00472715">
            <w:pPr>
              <w:rPr>
                <w:rFonts w:cstheme="minorHAnsi"/>
              </w:rPr>
            </w:pPr>
            <w:r w:rsidRPr="004212A7">
              <w:rPr>
                <w:rFonts w:cstheme="minorHAnsi"/>
              </w:rPr>
              <w:t>An Onshore Gas Supply Chain Working Group has been established to coordinate industry and government efforts to maximise regional benefits and local opportunities. Members include NT Government, Santos, Origin Energy, Empire Energy, Tamboran Resources, Central Petroleum, Australian Petroleum and Production Exploration Association (APPEA) and the Industry Capability Network Northern Territory.</w:t>
            </w:r>
          </w:p>
          <w:p w14:paraId="4C099CE4" w14:textId="77777777" w:rsidR="00472715" w:rsidRPr="00520C23" w:rsidRDefault="00472715" w:rsidP="00472715">
            <w:pPr>
              <w:rPr>
                <w:rFonts w:cstheme="minorHAnsi"/>
              </w:rPr>
            </w:pPr>
          </w:p>
          <w:p w14:paraId="27D4BBE8" w14:textId="77777777" w:rsidR="00472715" w:rsidRPr="00520C23" w:rsidRDefault="00472715" w:rsidP="00472715">
            <w:pPr>
              <w:rPr>
                <w:rFonts w:cstheme="minorHAnsi"/>
              </w:rPr>
            </w:pPr>
            <w:r w:rsidRPr="004212A7">
              <w:rPr>
                <w:rFonts w:cstheme="minorHAnsi"/>
              </w:rPr>
              <w:t>Local Benefit Reporting:</w:t>
            </w:r>
          </w:p>
          <w:p w14:paraId="27398E65" w14:textId="77777777" w:rsidR="00472715" w:rsidRPr="004212A7" w:rsidRDefault="00472715" w:rsidP="00472715">
            <w:pPr>
              <w:rPr>
                <w:rFonts w:cstheme="minorHAnsi"/>
              </w:rPr>
            </w:pPr>
          </w:p>
          <w:p w14:paraId="66188DBC" w14:textId="77777777" w:rsidR="00472715" w:rsidRPr="004212A7" w:rsidRDefault="00472715" w:rsidP="00472715">
            <w:pPr>
              <w:numPr>
                <w:ilvl w:val="0"/>
                <w:numId w:val="94"/>
              </w:numPr>
              <w:rPr>
                <w:rFonts w:cstheme="minorHAnsi"/>
              </w:rPr>
            </w:pPr>
            <w:r w:rsidRPr="004212A7">
              <w:rPr>
                <w:rFonts w:cstheme="minorHAnsi"/>
              </w:rPr>
              <w:t>Current active explorers in the Beetaloo to provide to government an annual local benefit report from the production phase summarising commitment to local benefit and employment. NT Government will seek participation from other petroleum title holders once they become active.</w:t>
            </w:r>
          </w:p>
          <w:p w14:paraId="5702455B" w14:textId="77777777" w:rsidR="00472715" w:rsidRPr="004212A7" w:rsidRDefault="00472715" w:rsidP="00472715">
            <w:pPr>
              <w:numPr>
                <w:ilvl w:val="0"/>
                <w:numId w:val="94"/>
              </w:numPr>
              <w:rPr>
                <w:rFonts w:cstheme="minorHAnsi"/>
              </w:rPr>
            </w:pPr>
            <w:r w:rsidRPr="004212A7">
              <w:rPr>
                <w:rFonts w:cstheme="minorHAnsi"/>
              </w:rPr>
              <w:t>An aggregated industry report on local benefit outcomes to be published annually from the production phase. NT Government has committed to funding the first three reports.</w:t>
            </w:r>
          </w:p>
          <w:p w14:paraId="0D2B88A8" w14:textId="77777777" w:rsidR="00472715" w:rsidRPr="00520C23" w:rsidRDefault="00472715" w:rsidP="00472715">
            <w:pPr>
              <w:rPr>
                <w:rFonts w:cstheme="minorHAnsi"/>
              </w:rPr>
            </w:pPr>
          </w:p>
          <w:p w14:paraId="5A264B47" w14:textId="77777777" w:rsidR="00472715" w:rsidRPr="00520C23" w:rsidRDefault="00472715" w:rsidP="00472715">
            <w:pPr>
              <w:rPr>
                <w:rFonts w:cstheme="minorHAnsi"/>
              </w:rPr>
            </w:pPr>
            <w:r w:rsidRPr="004212A7">
              <w:rPr>
                <w:rFonts w:cstheme="minorHAnsi"/>
              </w:rPr>
              <w:t>Government initiatives being implemented:</w:t>
            </w:r>
          </w:p>
          <w:p w14:paraId="0A22D01E" w14:textId="77777777" w:rsidR="00472715" w:rsidRPr="004212A7" w:rsidRDefault="00472715" w:rsidP="00472715">
            <w:pPr>
              <w:rPr>
                <w:rFonts w:cstheme="minorHAnsi"/>
              </w:rPr>
            </w:pPr>
          </w:p>
          <w:p w14:paraId="7496C2E5" w14:textId="77777777" w:rsidR="00472715" w:rsidRPr="004212A7" w:rsidRDefault="00472715" w:rsidP="00472715">
            <w:pPr>
              <w:numPr>
                <w:ilvl w:val="0"/>
                <w:numId w:val="95"/>
              </w:numPr>
              <w:rPr>
                <w:rFonts w:cstheme="minorHAnsi"/>
              </w:rPr>
            </w:pPr>
            <w:r w:rsidRPr="004212A7">
              <w:rPr>
                <w:rFonts w:cstheme="minorHAnsi"/>
              </w:rPr>
              <w:t>Business growth programs and grants</w:t>
            </w:r>
          </w:p>
          <w:p w14:paraId="56BFCDA4" w14:textId="77777777" w:rsidR="00472715" w:rsidRPr="004212A7" w:rsidRDefault="00472715" w:rsidP="00472715">
            <w:pPr>
              <w:numPr>
                <w:ilvl w:val="0"/>
                <w:numId w:val="95"/>
              </w:numPr>
              <w:rPr>
                <w:rFonts w:cstheme="minorHAnsi"/>
              </w:rPr>
            </w:pPr>
            <w:r w:rsidRPr="004212A7">
              <w:rPr>
                <w:rFonts w:cstheme="minorHAnsi"/>
              </w:rPr>
              <w:t>Business pivot grants</w:t>
            </w:r>
          </w:p>
          <w:p w14:paraId="1740EF90" w14:textId="77777777" w:rsidR="00472715" w:rsidRPr="004212A7" w:rsidRDefault="00472715" w:rsidP="00472715">
            <w:pPr>
              <w:numPr>
                <w:ilvl w:val="0"/>
                <w:numId w:val="95"/>
              </w:numPr>
              <w:rPr>
                <w:rFonts w:cstheme="minorHAnsi"/>
              </w:rPr>
            </w:pPr>
            <w:r w:rsidRPr="004212A7">
              <w:rPr>
                <w:rFonts w:cstheme="minorHAnsi"/>
              </w:rPr>
              <w:t>Business upskilling</w:t>
            </w:r>
          </w:p>
          <w:p w14:paraId="313318C4" w14:textId="77777777" w:rsidR="00472715" w:rsidRPr="004212A7" w:rsidRDefault="00472715" w:rsidP="00472715">
            <w:pPr>
              <w:numPr>
                <w:ilvl w:val="0"/>
                <w:numId w:val="95"/>
              </w:numPr>
              <w:rPr>
                <w:rFonts w:cstheme="minorHAnsi"/>
              </w:rPr>
            </w:pPr>
            <w:r w:rsidRPr="004212A7">
              <w:rPr>
                <w:rFonts w:cstheme="minorHAnsi"/>
              </w:rPr>
              <w:t>Aboriginal business development program</w:t>
            </w:r>
          </w:p>
          <w:p w14:paraId="1049EC8D" w14:textId="77777777" w:rsidR="00472715" w:rsidRPr="004212A7" w:rsidRDefault="00472715" w:rsidP="00472715">
            <w:pPr>
              <w:numPr>
                <w:ilvl w:val="0"/>
                <w:numId w:val="95"/>
              </w:numPr>
              <w:rPr>
                <w:rFonts w:cstheme="minorHAnsi"/>
              </w:rPr>
            </w:pPr>
            <w:r w:rsidRPr="004212A7">
              <w:rPr>
                <w:rFonts w:cstheme="minorHAnsi"/>
              </w:rPr>
              <w:t>Small business champion guidance</w:t>
            </w:r>
          </w:p>
          <w:p w14:paraId="7F048C6D" w14:textId="77777777" w:rsidR="00472715" w:rsidRPr="004212A7" w:rsidRDefault="00472715" w:rsidP="00472715">
            <w:pPr>
              <w:numPr>
                <w:ilvl w:val="0"/>
                <w:numId w:val="95"/>
              </w:numPr>
              <w:rPr>
                <w:rFonts w:cstheme="minorHAnsi"/>
              </w:rPr>
            </w:pPr>
            <w:r w:rsidRPr="004212A7">
              <w:rPr>
                <w:rFonts w:cstheme="minorHAnsi"/>
              </w:rPr>
              <w:t>Territory Business Centre's in Katherine and Tennant Creek</w:t>
            </w:r>
          </w:p>
          <w:p w14:paraId="6C8C1C12" w14:textId="77777777" w:rsidR="00472715" w:rsidRPr="004212A7" w:rsidRDefault="00472715" w:rsidP="00472715">
            <w:pPr>
              <w:numPr>
                <w:ilvl w:val="0"/>
                <w:numId w:val="95"/>
              </w:numPr>
              <w:rPr>
                <w:rFonts w:cstheme="minorHAnsi"/>
              </w:rPr>
            </w:pPr>
            <w:r w:rsidRPr="004212A7">
              <w:rPr>
                <w:rFonts w:cstheme="minorHAnsi"/>
              </w:rPr>
              <w:t>JobTrainer Program</w:t>
            </w:r>
          </w:p>
          <w:p w14:paraId="561DBCB9" w14:textId="77777777" w:rsidR="00472715" w:rsidRPr="004212A7" w:rsidRDefault="00472715" w:rsidP="00472715">
            <w:pPr>
              <w:numPr>
                <w:ilvl w:val="0"/>
                <w:numId w:val="95"/>
              </w:numPr>
              <w:rPr>
                <w:rFonts w:cstheme="minorHAnsi"/>
              </w:rPr>
            </w:pPr>
            <w:r w:rsidRPr="004212A7">
              <w:rPr>
                <w:rFonts w:cstheme="minorHAnsi"/>
              </w:rPr>
              <w:t>Aboriginal employment programs such as Aboriginal Workforce Grants and Aboriginal Responsive Skilling Grants</w:t>
            </w:r>
          </w:p>
          <w:p w14:paraId="4DDDEB7C" w14:textId="77777777" w:rsidR="00472715" w:rsidRPr="004212A7" w:rsidRDefault="00472715" w:rsidP="00472715">
            <w:pPr>
              <w:numPr>
                <w:ilvl w:val="0"/>
                <w:numId w:val="95"/>
              </w:numPr>
              <w:rPr>
                <w:rFonts w:cstheme="minorHAnsi"/>
              </w:rPr>
            </w:pPr>
            <w:r w:rsidRPr="004212A7">
              <w:rPr>
                <w:rFonts w:cstheme="minorHAnsi"/>
              </w:rPr>
              <w:t>NT VET Programs / Apprenticeship and Traineeships</w:t>
            </w:r>
          </w:p>
          <w:p w14:paraId="559FCB90" w14:textId="77777777" w:rsidR="00472715" w:rsidRPr="004212A7" w:rsidRDefault="00472715" w:rsidP="00472715">
            <w:pPr>
              <w:numPr>
                <w:ilvl w:val="0"/>
                <w:numId w:val="95"/>
              </w:numPr>
              <w:rPr>
                <w:rFonts w:cstheme="minorHAnsi"/>
              </w:rPr>
            </w:pPr>
            <w:r w:rsidRPr="004212A7">
              <w:rPr>
                <w:rFonts w:cstheme="minorHAnsi"/>
              </w:rPr>
              <w:t>Territory Workforce Program</w:t>
            </w:r>
          </w:p>
          <w:p w14:paraId="6E513325" w14:textId="77777777" w:rsidR="00472715" w:rsidRPr="004212A7" w:rsidRDefault="00472715" w:rsidP="00472715">
            <w:pPr>
              <w:numPr>
                <w:ilvl w:val="0"/>
                <w:numId w:val="95"/>
              </w:numPr>
              <w:rPr>
                <w:rFonts w:cstheme="minorHAnsi"/>
              </w:rPr>
            </w:pPr>
            <w:r w:rsidRPr="004212A7">
              <w:rPr>
                <w:rFonts w:cstheme="minorHAnsi"/>
              </w:rPr>
              <w:t>Industry Buildskills Program.</w:t>
            </w:r>
          </w:p>
          <w:p w14:paraId="3C23F87F" w14:textId="77777777" w:rsidR="00472715" w:rsidRPr="00520C23" w:rsidRDefault="00472715" w:rsidP="00472715">
            <w:pPr>
              <w:rPr>
                <w:rFonts w:cstheme="minorHAnsi"/>
              </w:rPr>
            </w:pPr>
          </w:p>
          <w:p w14:paraId="4B00E2E6" w14:textId="77777777" w:rsidR="00472715" w:rsidRPr="004212A7" w:rsidRDefault="00472715" w:rsidP="00472715">
            <w:pPr>
              <w:rPr>
                <w:rFonts w:cstheme="minorHAnsi"/>
              </w:rPr>
            </w:pPr>
            <w:r w:rsidRPr="004212A7">
              <w:rPr>
                <w:rFonts w:cstheme="minorHAnsi"/>
              </w:rPr>
              <w:t>NT Government holds annual information sessions to inform local businesses of upcoming work, pre-qualification/contract requirements and the process to register interest in project opportunities.</w:t>
            </w:r>
          </w:p>
          <w:p w14:paraId="7C0D6552" w14:textId="77777777" w:rsidR="00472715" w:rsidRPr="00520C23" w:rsidRDefault="00472715" w:rsidP="00472715">
            <w:pPr>
              <w:rPr>
                <w:rFonts w:cstheme="minorHAnsi"/>
              </w:rPr>
            </w:pPr>
          </w:p>
          <w:p w14:paraId="28F4FDD7" w14:textId="77777777" w:rsidR="00472715" w:rsidRPr="004212A7" w:rsidRDefault="00472715" w:rsidP="00472715">
            <w:pPr>
              <w:rPr>
                <w:rFonts w:cstheme="minorHAnsi"/>
              </w:rPr>
            </w:pPr>
            <w:r w:rsidRPr="004212A7">
              <w:rPr>
                <w:rFonts w:cstheme="minorHAnsi"/>
              </w:rPr>
              <w:t>The Northern Territory Business Hub, announced in March 2022, will be delivered by the Northern Territory Indigenous Business Network with satellite offices across the Northern Territory.</w:t>
            </w:r>
          </w:p>
          <w:p w14:paraId="59BAEF1B" w14:textId="77777777" w:rsidR="00472715" w:rsidRPr="00520C23" w:rsidRDefault="00472715" w:rsidP="00472715">
            <w:pPr>
              <w:rPr>
                <w:rFonts w:cstheme="minorHAnsi"/>
              </w:rPr>
            </w:pPr>
          </w:p>
          <w:p w14:paraId="7373BC04" w14:textId="77777777" w:rsidR="00472715" w:rsidRPr="004212A7" w:rsidRDefault="00472715" w:rsidP="00472715">
            <w:pPr>
              <w:rPr>
                <w:rFonts w:cstheme="minorHAnsi"/>
              </w:rPr>
            </w:pPr>
            <w:r w:rsidRPr="004212A7">
              <w:rPr>
                <w:rFonts w:cstheme="minorHAnsi"/>
              </w:rPr>
              <w:lastRenderedPageBreak/>
              <w:t>NT Government is procuring a Northern Territory Beetaloo Skills Audit through the Industry Skills Advisory Council NT to be delivered in 2023.</w:t>
            </w:r>
          </w:p>
          <w:p w14:paraId="3A00E428" w14:textId="77777777" w:rsidR="00472715" w:rsidRPr="00520C23" w:rsidRDefault="00472715" w:rsidP="00472715">
            <w:pPr>
              <w:rPr>
                <w:rFonts w:cstheme="minorHAnsi"/>
              </w:rPr>
            </w:pPr>
          </w:p>
          <w:p w14:paraId="4F3DB25D" w14:textId="77777777" w:rsidR="00472715" w:rsidRPr="00520C23" w:rsidRDefault="00472715" w:rsidP="00472715">
            <w:pPr>
              <w:rPr>
                <w:rFonts w:cstheme="minorHAnsi"/>
              </w:rPr>
            </w:pPr>
            <w:r w:rsidRPr="004212A7">
              <w:rPr>
                <w:rFonts w:cstheme="minorHAnsi"/>
              </w:rPr>
              <w:t xml:space="preserve">Implementation of the </w:t>
            </w:r>
            <w:hyperlink r:id="rId73" w:history="1">
              <w:r w:rsidRPr="004212A7">
                <w:rPr>
                  <w:rStyle w:val="Hyperlink"/>
                  <w:rFonts w:cstheme="minorHAnsi"/>
                </w:rPr>
                <w:t>Barkly Regional Deal</w:t>
              </w:r>
            </w:hyperlink>
            <w:r w:rsidRPr="004212A7">
              <w:rPr>
                <w:rFonts w:cstheme="minorHAnsi"/>
              </w:rPr>
              <w:t xml:space="preserve"> (Federal, NT and Barkly Regional Council) includes:</w:t>
            </w:r>
          </w:p>
          <w:p w14:paraId="0CF07FD7" w14:textId="77777777" w:rsidR="00472715" w:rsidRPr="004212A7" w:rsidRDefault="00472715" w:rsidP="00472715">
            <w:pPr>
              <w:rPr>
                <w:rFonts w:cstheme="minorHAnsi"/>
              </w:rPr>
            </w:pPr>
          </w:p>
          <w:p w14:paraId="01651DB9" w14:textId="77777777" w:rsidR="00472715" w:rsidRPr="004212A7" w:rsidRDefault="00472715" w:rsidP="00472715">
            <w:pPr>
              <w:numPr>
                <w:ilvl w:val="0"/>
                <w:numId w:val="96"/>
              </w:numPr>
              <w:rPr>
                <w:rFonts w:cstheme="minorHAnsi"/>
              </w:rPr>
            </w:pPr>
            <w:r w:rsidRPr="004212A7">
              <w:rPr>
                <w:rFonts w:cstheme="minorHAnsi"/>
              </w:rPr>
              <w:t>Development of an Economic Growth Strategy</w:t>
            </w:r>
          </w:p>
          <w:p w14:paraId="1F31E1AE" w14:textId="77777777" w:rsidR="00472715" w:rsidRPr="004212A7" w:rsidRDefault="00472715" w:rsidP="00472715">
            <w:pPr>
              <w:numPr>
                <w:ilvl w:val="0"/>
                <w:numId w:val="96"/>
              </w:numPr>
              <w:rPr>
                <w:rFonts w:cstheme="minorHAnsi"/>
              </w:rPr>
            </w:pPr>
            <w:r w:rsidRPr="004212A7">
              <w:rPr>
                <w:rFonts w:cstheme="minorHAnsi"/>
              </w:rPr>
              <w:t>Beetaloo Aboriginal Economic Development Strategy — a study by Charles Darwin University on behalf of the Federal Department of Infrastructure Transport, Regional Development and Communications</w:t>
            </w:r>
          </w:p>
          <w:p w14:paraId="57AB8EC7" w14:textId="77777777" w:rsidR="00472715" w:rsidRPr="004212A7" w:rsidRDefault="00472715" w:rsidP="00472715">
            <w:pPr>
              <w:numPr>
                <w:ilvl w:val="0"/>
                <w:numId w:val="96"/>
              </w:numPr>
              <w:rPr>
                <w:rFonts w:cstheme="minorHAnsi"/>
              </w:rPr>
            </w:pPr>
            <w:r w:rsidRPr="004212A7">
              <w:rPr>
                <w:rFonts w:cstheme="minorHAnsi"/>
              </w:rPr>
              <w:t>Development of a Regional Workforce Strategy</w:t>
            </w:r>
          </w:p>
          <w:p w14:paraId="6B9140F8" w14:textId="77777777" w:rsidR="00472715" w:rsidRPr="004212A7" w:rsidRDefault="00472715" w:rsidP="00472715">
            <w:pPr>
              <w:numPr>
                <w:ilvl w:val="0"/>
                <w:numId w:val="96"/>
              </w:numPr>
              <w:rPr>
                <w:rFonts w:cstheme="minorHAnsi"/>
              </w:rPr>
            </w:pPr>
            <w:r w:rsidRPr="004212A7">
              <w:rPr>
                <w:rFonts w:cstheme="minorHAnsi"/>
              </w:rPr>
              <w:t>Juno Jobs – pathways to apprenticeships and traineeships; working model developed for community consultation as a pilot program specific to the Barkly region</w:t>
            </w:r>
          </w:p>
          <w:p w14:paraId="3E7655FE" w14:textId="77777777" w:rsidR="00472715" w:rsidRPr="004212A7" w:rsidRDefault="00472715" w:rsidP="00472715">
            <w:pPr>
              <w:numPr>
                <w:ilvl w:val="0"/>
                <w:numId w:val="96"/>
              </w:numPr>
              <w:rPr>
                <w:rFonts w:cstheme="minorHAnsi"/>
              </w:rPr>
            </w:pPr>
            <w:r w:rsidRPr="004212A7">
              <w:rPr>
                <w:rFonts w:cstheme="minorHAnsi"/>
              </w:rPr>
              <w:t>Development of a Barkly Business Hub in Tennant Creek.</w:t>
            </w:r>
          </w:p>
          <w:p w14:paraId="5CCDBA54" w14:textId="77777777" w:rsidR="00472715" w:rsidRPr="00520C23" w:rsidRDefault="00472715" w:rsidP="00472715">
            <w:pPr>
              <w:rPr>
                <w:rFonts w:cstheme="minorHAnsi"/>
              </w:rPr>
            </w:pPr>
          </w:p>
          <w:p w14:paraId="5B72062D" w14:textId="77777777" w:rsidR="00472715" w:rsidRPr="00520C23" w:rsidRDefault="00472715" w:rsidP="00472715">
            <w:pPr>
              <w:rPr>
                <w:rFonts w:cstheme="minorHAnsi"/>
              </w:rPr>
            </w:pPr>
            <w:r w:rsidRPr="004212A7">
              <w:rPr>
                <w:rFonts w:cstheme="minorHAnsi"/>
              </w:rPr>
              <w:t>Industry led engagement:</w:t>
            </w:r>
          </w:p>
          <w:p w14:paraId="4063C823" w14:textId="77777777" w:rsidR="00472715" w:rsidRPr="004212A7" w:rsidRDefault="00472715" w:rsidP="00472715">
            <w:pPr>
              <w:rPr>
                <w:rFonts w:cstheme="minorHAnsi"/>
              </w:rPr>
            </w:pPr>
          </w:p>
          <w:p w14:paraId="4F01ADBF" w14:textId="77777777" w:rsidR="00472715" w:rsidRPr="004212A7" w:rsidRDefault="00472715" w:rsidP="00472715">
            <w:pPr>
              <w:numPr>
                <w:ilvl w:val="0"/>
                <w:numId w:val="97"/>
              </w:numPr>
              <w:rPr>
                <w:rFonts w:cstheme="minorHAnsi"/>
              </w:rPr>
            </w:pPr>
            <w:r w:rsidRPr="004212A7">
              <w:rPr>
                <w:rFonts w:cstheme="minorHAnsi"/>
              </w:rPr>
              <w:t>Industry-engagement of Traditional Owners for environmental and heritage surveys</w:t>
            </w:r>
          </w:p>
          <w:p w14:paraId="0E7359B9" w14:textId="77777777" w:rsidR="00472715" w:rsidRPr="004212A7" w:rsidRDefault="00472715" w:rsidP="00472715">
            <w:pPr>
              <w:numPr>
                <w:ilvl w:val="0"/>
                <w:numId w:val="97"/>
              </w:numPr>
              <w:rPr>
                <w:rFonts w:cstheme="minorHAnsi"/>
              </w:rPr>
            </w:pPr>
            <w:r w:rsidRPr="004212A7">
              <w:rPr>
                <w:rFonts w:cstheme="minorHAnsi"/>
              </w:rPr>
              <w:t>Industry-led liaison meetings, town briefings and community consultations including industry participation in regional events and conferences</w:t>
            </w:r>
          </w:p>
          <w:p w14:paraId="7A45BFCE" w14:textId="77777777" w:rsidR="00472715" w:rsidRPr="004212A7" w:rsidRDefault="00472715" w:rsidP="00472715">
            <w:pPr>
              <w:numPr>
                <w:ilvl w:val="0"/>
                <w:numId w:val="97"/>
              </w:numPr>
              <w:rPr>
                <w:rFonts w:cstheme="minorHAnsi"/>
              </w:rPr>
            </w:pPr>
            <w:r w:rsidRPr="004212A7">
              <w:rPr>
                <w:rFonts w:cstheme="minorHAnsi"/>
              </w:rPr>
              <w:t>Individual Exploration Agreements and Indigenous Land Use Agreements are typically negotiated directly by industry licence holders.</w:t>
            </w:r>
          </w:p>
          <w:p w14:paraId="554B4E80" w14:textId="77777777" w:rsidR="00472715" w:rsidRPr="00520C23" w:rsidRDefault="00472715" w:rsidP="00472715">
            <w:pPr>
              <w:spacing w:before="120"/>
              <w:rPr>
                <w:rFonts w:cstheme="minorHAnsi"/>
                <w:b/>
                <w:bCs/>
                <w:i/>
                <w:iCs/>
              </w:rPr>
            </w:pPr>
          </w:p>
        </w:tc>
        <w:tc>
          <w:tcPr>
            <w:tcW w:w="5310" w:type="dxa"/>
            <w:shd w:val="clear" w:color="auto" w:fill="E2EFD9" w:themeFill="accent6" w:themeFillTint="33"/>
          </w:tcPr>
          <w:p w14:paraId="60DC4B7A" w14:textId="77777777" w:rsidR="00472715" w:rsidRDefault="00472715" w:rsidP="00472715">
            <w:pPr>
              <w:spacing w:before="120"/>
              <w:rPr>
                <w:rFonts w:cstheme="minorHAnsi"/>
              </w:rPr>
            </w:pPr>
            <w:r>
              <w:rPr>
                <w:rFonts w:cstheme="minorHAnsi"/>
              </w:rPr>
              <w:lastRenderedPageBreak/>
              <w:t xml:space="preserve">This recommendation has been adequately addressed </w:t>
            </w:r>
            <w:r w:rsidRPr="00520C23">
              <w:rPr>
                <w:rFonts w:cstheme="minorHAnsi"/>
              </w:rPr>
              <w:t>through the government initiatives listed</w:t>
            </w:r>
            <w:r>
              <w:rPr>
                <w:rFonts w:cstheme="minorHAnsi"/>
              </w:rPr>
              <w:t xml:space="preserve">, </w:t>
            </w:r>
            <w:r w:rsidRPr="00520C23">
              <w:rPr>
                <w:rFonts w:cstheme="minorHAnsi"/>
              </w:rPr>
              <w:t>including the Industry Buildskills Program and JobTrainer Program.</w:t>
            </w:r>
            <w:r>
              <w:rPr>
                <w:rFonts w:cstheme="minorHAnsi"/>
              </w:rPr>
              <w:t xml:space="preserve"> </w:t>
            </w:r>
          </w:p>
          <w:p w14:paraId="7E487B15" w14:textId="77777777" w:rsidR="00472715" w:rsidRPr="00520C23" w:rsidRDefault="00472715" w:rsidP="00472715">
            <w:pPr>
              <w:spacing w:before="120"/>
              <w:rPr>
                <w:rFonts w:cstheme="minorHAnsi"/>
              </w:rPr>
            </w:pPr>
            <w:r>
              <w:rPr>
                <w:rFonts w:cstheme="minorHAnsi"/>
              </w:rPr>
              <w:t>The Gas Service and Supply Plan mentioned below sets a goal of doubling location participation in the gas industry supply chain to at least 50% by 2025.</w:t>
            </w:r>
          </w:p>
          <w:p w14:paraId="450F768A" w14:textId="15C9E9B0" w:rsidR="00472715" w:rsidRPr="00520C23" w:rsidRDefault="00472715" w:rsidP="00472715">
            <w:pPr>
              <w:spacing w:before="120"/>
              <w:rPr>
                <w:rFonts w:cstheme="minorHAnsi"/>
              </w:rPr>
            </w:pPr>
          </w:p>
        </w:tc>
      </w:tr>
      <w:tr w:rsidR="00472715" w:rsidRPr="00520C23" w14:paraId="1196F1B5" w14:textId="77777777" w:rsidTr="00EA3C33">
        <w:tc>
          <w:tcPr>
            <w:tcW w:w="846" w:type="dxa"/>
            <w:shd w:val="clear" w:color="auto" w:fill="auto"/>
          </w:tcPr>
          <w:p w14:paraId="204C74DE" w14:textId="3DA6C6D2" w:rsidR="00472715" w:rsidRPr="00520C23" w:rsidRDefault="00472715" w:rsidP="00472715">
            <w:pPr>
              <w:spacing w:before="120"/>
              <w:jc w:val="center"/>
              <w:rPr>
                <w:rFonts w:cstheme="minorHAnsi"/>
              </w:rPr>
            </w:pPr>
            <w:r w:rsidRPr="00520C23">
              <w:rPr>
                <w:rFonts w:cstheme="minorHAnsi"/>
              </w:rPr>
              <w:t>12.15</w:t>
            </w:r>
          </w:p>
        </w:tc>
        <w:tc>
          <w:tcPr>
            <w:tcW w:w="4819" w:type="dxa"/>
            <w:shd w:val="clear" w:color="auto" w:fill="FFFFFF" w:themeFill="background1"/>
          </w:tcPr>
          <w:p w14:paraId="302C3CCB" w14:textId="4226393C" w:rsidR="00472715" w:rsidRPr="00520C23" w:rsidRDefault="00472715" w:rsidP="00472715">
            <w:pPr>
              <w:spacing w:before="120"/>
              <w:rPr>
                <w:rFonts w:cstheme="minorHAnsi"/>
                <w:i/>
                <w:iCs/>
              </w:rPr>
            </w:pPr>
            <w:r w:rsidRPr="00520C23">
              <w:rPr>
                <w:rFonts w:cstheme="minorHAnsi"/>
                <w:i/>
                <w:iCs/>
              </w:rPr>
              <w:t>That gas companies work proactively with local businesses, local government, Government, Land Councils and communities to ensure that local businesses are able and adequately skilled to compete for contracts, and to assist local businesses to be ready to participate in any economic opportunities that may emerge.</w:t>
            </w:r>
          </w:p>
        </w:tc>
        <w:tc>
          <w:tcPr>
            <w:tcW w:w="11430" w:type="dxa"/>
            <w:gridSpan w:val="2"/>
            <w:shd w:val="clear" w:color="auto" w:fill="FFFFFF" w:themeFill="background1"/>
          </w:tcPr>
          <w:p w14:paraId="4F6E8F8F" w14:textId="77777777" w:rsidR="00472715" w:rsidRPr="00520C23" w:rsidRDefault="00472715" w:rsidP="00472715">
            <w:pPr>
              <w:rPr>
                <w:rFonts w:cstheme="minorHAnsi"/>
              </w:rPr>
            </w:pPr>
            <w:r w:rsidRPr="00520C23">
              <w:rPr>
                <w:rFonts w:cstheme="minorHAnsi"/>
              </w:rPr>
              <w:t xml:space="preserve">In addition to the implementation measures laid out for Recommendation 12.14, </w:t>
            </w:r>
            <w:r>
              <w:rPr>
                <w:rFonts w:cstheme="minorHAnsi"/>
              </w:rPr>
              <w:t>the NT government added:</w:t>
            </w:r>
          </w:p>
          <w:p w14:paraId="25069A54" w14:textId="5F8635D7" w:rsidR="00472715" w:rsidRPr="003F494F" w:rsidRDefault="00472715" w:rsidP="00472715">
            <w:pPr>
              <w:spacing w:before="120"/>
              <w:rPr>
                <w:rFonts w:cstheme="minorHAnsi"/>
                <w:b/>
                <w:bCs/>
                <w:i/>
                <w:iCs/>
              </w:rPr>
            </w:pPr>
            <w:r w:rsidRPr="003F494F">
              <w:rPr>
                <w:rFonts w:cstheme="minorHAnsi"/>
                <w:i/>
                <w:iCs/>
              </w:rPr>
              <w:t>NT Government funded the Industry Capability Network Northern Territory to identify and measure local benefit outcomes realised through onshore industry activities in the Territory through analysis conducted on proponents' procurement data.</w:t>
            </w:r>
          </w:p>
        </w:tc>
        <w:tc>
          <w:tcPr>
            <w:tcW w:w="5310" w:type="dxa"/>
            <w:shd w:val="clear" w:color="auto" w:fill="E2EFD9" w:themeFill="accent6" w:themeFillTint="33"/>
          </w:tcPr>
          <w:p w14:paraId="095B60A3" w14:textId="3ACC7197" w:rsidR="00472715" w:rsidRPr="00520C23" w:rsidRDefault="00472715" w:rsidP="00472715">
            <w:pPr>
              <w:spacing w:before="120"/>
              <w:rPr>
                <w:rFonts w:cstheme="minorHAnsi"/>
              </w:rPr>
            </w:pPr>
            <w:r>
              <w:rPr>
                <w:rFonts w:cstheme="minorHAnsi"/>
              </w:rPr>
              <w:t xml:space="preserve">This recommendation has been adequately addressed. </w:t>
            </w:r>
            <w:r w:rsidRPr="00520C23">
              <w:rPr>
                <w:rFonts w:cstheme="minorHAnsi"/>
              </w:rPr>
              <w:t xml:space="preserve">The implementation progress description lists various government initiatives related to job training, including the Industry Buildskills Program and JobTrainer Program. </w:t>
            </w:r>
          </w:p>
        </w:tc>
      </w:tr>
      <w:tr w:rsidR="00EA3C33" w:rsidRPr="00520C23" w14:paraId="35A01D92" w14:textId="77777777" w:rsidTr="00EA3C33">
        <w:tc>
          <w:tcPr>
            <w:tcW w:w="846" w:type="dxa"/>
            <w:shd w:val="clear" w:color="auto" w:fill="auto"/>
          </w:tcPr>
          <w:p w14:paraId="3DFA5319" w14:textId="09BF2413" w:rsidR="00472715" w:rsidRPr="00520C23" w:rsidRDefault="00472715" w:rsidP="00472715">
            <w:pPr>
              <w:spacing w:before="120"/>
              <w:jc w:val="center"/>
              <w:rPr>
                <w:rFonts w:cstheme="minorHAnsi"/>
              </w:rPr>
            </w:pPr>
            <w:r>
              <w:rPr>
                <w:rFonts w:cstheme="minorHAnsi"/>
              </w:rPr>
              <w:t>13.1</w:t>
            </w:r>
          </w:p>
        </w:tc>
        <w:tc>
          <w:tcPr>
            <w:tcW w:w="4819" w:type="dxa"/>
            <w:shd w:val="clear" w:color="auto" w:fill="FFFFFF" w:themeFill="background1"/>
          </w:tcPr>
          <w:p w14:paraId="07EFE1E8" w14:textId="77777777" w:rsidR="00472715" w:rsidRPr="000F19FD" w:rsidRDefault="00472715" w:rsidP="00472715">
            <w:pPr>
              <w:spacing w:before="120"/>
              <w:rPr>
                <w:rFonts w:cstheme="minorHAnsi"/>
                <w:i/>
                <w:iCs/>
                <w:lang w:val="en-US"/>
              </w:rPr>
            </w:pPr>
            <w:r w:rsidRPr="000F19FD">
              <w:rPr>
                <w:rFonts w:cstheme="minorHAnsi"/>
                <w:i/>
                <w:iCs/>
                <w:lang w:val="en-US"/>
              </w:rPr>
              <w:t>That in developing its budget, the Government must have regard to the source of royalty revenue and must ensure that regions that are the source of taxation revenue benefit from any onshore shale gas extraction activity that has occurred in their region.</w:t>
            </w:r>
          </w:p>
          <w:p w14:paraId="18BA428C" w14:textId="77777777" w:rsidR="00472715" w:rsidRPr="000F19FD" w:rsidRDefault="00472715" w:rsidP="00472715">
            <w:pPr>
              <w:spacing w:before="120"/>
              <w:rPr>
                <w:rFonts w:cstheme="minorHAnsi"/>
                <w:i/>
                <w:iCs/>
                <w:lang w:val="en-US"/>
              </w:rPr>
            </w:pPr>
            <w:r w:rsidRPr="000F19FD">
              <w:rPr>
                <w:rFonts w:cstheme="minorHAnsi"/>
                <w:i/>
                <w:iCs/>
                <w:lang w:val="en-US"/>
              </w:rPr>
              <w:t>That the Government works with local government, stakeholders, Land Councils, and local communities in the design and implementation of all such programs.</w:t>
            </w:r>
          </w:p>
          <w:p w14:paraId="4752A925" w14:textId="77777777" w:rsidR="00472715" w:rsidRPr="000F19FD" w:rsidRDefault="00472715" w:rsidP="00472715">
            <w:pPr>
              <w:spacing w:before="120"/>
              <w:rPr>
                <w:rFonts w:cstheme="minorHAnsi"/>
                <w:i/>
                <w:iCs/>
                <w:lang w:val="en-US"/>
              </w:rPr>
            </w:pPr>
          </w:p>
        </w:tc>
        <w:tc>
          <w:tcPr>
            <w:tcW w:w="5760" w:type="dxa"/>
            <w:shd w:val="clear" w:color="auto" w:fill="FFFFFF" w:themeFill="background1"/>
          </w:tcPr>
          <w:p w14:paraId="33608950" w14:textId="77777777" w:rsidR="00472715" w:rsidRDefault="00472715" w:rsidP="00472715">
            <w:pPr>
              <w:rPr>
                <w:rFonts w:cstheme="minorHAnsi"/>
                <w:lang w:val="en-US"/>
              </w:rPr>
            </w:pPr>
            <w:r w:rsidRPr="000F19FD">
              <w:rPr>
                <w:rFonts w:cstheme="minorHAnsi"/>
                <w:lang w:val="en-US"/>
              </w:rPr>
              <w:t>The Recommendation will be implemented through the Regional Development Framework and Local Decision Making Policy and improved regional revenue and expenditure reporting to ensure that regions where onshore shale gas extraction activities occur will benefit from the activity.</w:t>
            </w:r>
          </w:p>
          <w:p w14:paraId="49F30980" w14:textId="77777777" w:rsidR="00472715" w:rsidRPr="000F19FD" w:rsidRDefault="00472715" w:rsidP="00472715">
            <w:pPr>
              <w:rPr>
                <w:rFonts w:cstheme="minorHAnsi"/>
                <w:lang w:val="en-US"/>
              </w:rPr>
            </w:pPr>
          </w:p>
          <w:p w14:paraId="19807E88" w14:textId="77777777" w:rsidR="00472715" w:rsidRDefault="00472715" w:rsidP="00472715">
            <w:pPr>
              <w:rPr>
                <w:rFonts w:cstheme="minorHAnsi"/>
                <w:lang w:val="en-US"/>
              </w:rPr>
            </w:pPr>
            <w:r w:rsidRPr="000F19FD">
              <w:rPr>
                <w:rFonts w:cstheme="minorHAnsi"/>
                <w:lang w:val="en-US"/>
              </w:rPr>
              <w:t>The Regional Development Framework is designed to enable regions to shape regional social and economic development priorities. This will be facilitated by the Framework’s governance model, which connects regional committees with senior government decision makers. Regional committees will include representation from local government, Land Councils, regional business leaders, service providers and Aboriginal organisations, reflecting the breadth sought by the inquiry recommendation.</w:t>
            </w:r>
          </w:p>
          <w:p w14:paraId="5B52CA6C" w14:textId="77777777" w:rsidR="00472715" w:rsidRDefault="00472715" w:rsidP="00472715">
            <w:pPr>
              <w:rPr>
                <w:rFonts w:cstheme="minorHAnsi"/>
                <w:lang w:val="en-US"/>
              </w:rPr>
            </w:pPr>
            <w:r>
              <w:rPr>
                <w:rFonts w:cstheme="minorHAnsi"/>
                <w:lang w:val="en-US"/>
              </w:rPr>
              <w:br/>
            </w:r>
            <w:r w:rsidRPr="000F19FD">
              <w:rPr>
                <w:rFonts w:cstheme="minorHAnsi"/>
                <w:lang w:val="en-US"/>
              </w:rPr>
              <w:t>Local Decision Making provides a pathway for Aboriginal communities and community representative bodies to have greater involvement, including control, over their identified needs and aspirations through the progressive transition of service delivery and decision-making to the local level.</w:t>
            </w:r>
          </w:p>
          <w:p w14:paraId="122C73B1" w14:textId="77777777" w:rsidR="00472715" w:rsidRPr="000F19FD" w:rsidRDefault="00472715" w:rsidP="00472715">
            <w:pPr>
              <w:rPr>
                <w:rFonts w:cstheme="minorHAnsi"/>
                <w:lang w:val="en-US"/>
              </w:rPr>
            </w:pPr>
          </w:p>
          <w:p w14:paraId="4E5F1AB3" w14:textId="77777777" w:rsidR="00472715" w:rsidRPr="000F19FD" w:rsidRDefault="00472715" w:rsidP="00472715">
            <w:pPr>
              <w:rPr>
                <w:rFonts w:cstheme="minorHAnsi"/>
                <w:lang w:val="en-US"/>
              </w:rPr>
            </w:pPr>
            <w:r w:rsidRPr="000F19FD">
              <w:rPr>
                <w:rFonts w:cstheme="minorHAnsi"/>
                <w:lang w:val="en-US"/>
              </w:rPr>
              <w:lastRenderedPageBreak/>
              <w:t>The NT Government is implementing a new budget management system that will enable consistent reporting of budgeted and actual expenditure by region across agencies. The system will allow comparison between the level of revenue sourced from a region against the level of government spending on services and infrastructure in the region.</w:t>
            </w:r>
          </w:p>
          <w:p w14:paraId="5B087257" w14:textId="31903738" w:rsidR="00472715" w:rsidRPr="000F19FD" w:rsidRDefault="00472715" w:rsidP="00472715">
            <w:pPr>
              <w:rPr>
                <w:rFonts w:cstheme="minorHAnsi"/>
                <w:lang w:val="en-US"/>
              </w:rPr>
            </w:pPr>
          </w:p>
        </w:tc>
        <w:tc>
          <w:tcPr>
            <w:tcW w:w="5670" w:type="dxa"/>
            <w:shd w:val="clear" w:color="auto" w:fill="FFFFFF" w:themeFill="background1"/>
          </w:tcPr>
          <w:p w14:paraId="492FB9B9" w14:textId="20520419" w:rsidR="00472715" w:rsidRPr="000F19FD" w:rsidRDefault="00472715" w:rsidP="00472715">
            <w:pPr>
              <w:rPr>
                <w:rFonts w:cstheme="minorHAnsi"/>
                <w:lang w:val="en-US"/>
              </w:rPr>
            </w:pPr>
            <w:r>
              <w:rPr>
                <w:rFonts w:cstheme="minorHAnsi"/>
                <w:i/>
                <w:iCs/>
                <w:lang w:val="en-US"/>
              </w:rPr>
              <w:lastRenderedPageBreak/>
              <w:t xml:space="preserve">See </w:t>
            </w:r>
            <w:hyperlink r:id="rId74" w:history="1">
              <w:r w:rsidRPr="00A55A66">
                <w:rPr>
                  <w:rStyle w:val="Hyperlink"/>
                  <w:rFonts w:cstheme="minorHAnsi"/>
                  <w:lang w:val="en-US"/>
                </w:rPr>
                <w:t>Regional Development Framework</w:t>
              </w:r>
            </w:hyperlink>
            <w:r>
              <w:rPr>
                <w:rFonts w:cstheme="minorHAnsi"/>
                <w:lang w:val="en-US"/>
              </w:rPr>
              <w:t xml:space="preserve"> and the </w:t>
            </w:r>
            <w:hyperlink r:id="rId75" w:history="1">
              <w:r w:rsidRPr="00821C16">
                <w:rPr>
                  <w:rStyle w:val="Hyperlink"/>
                  <w:rFonts w:cstheme="minorHAnsi"/>
                  <w:lang w:val="en-US"/>
                </w:rPr>
                <w:t>Local Decision Making Policy</w:t>
              </w:r>
            </w:hyperlink>
            <w:r>
              <w:rPr>
                <w:rFonts w:cstheme="minorHAnsi"/>
                <w:lang w:val="en-US"/>
              </w:rPr>
              <w:t xml:space="preserve">. </w:t>
            </w:r>
          </w:p>
        </w:tc>
        <w:tc>
          <w:tcPr>
            <w:tcW w:w="5310" w:type="dxa"/>
            <w:shd w:val="clear" w:color="auto" w:fill="FFF2CC" w:themeFill="accent4" w:themeFillTint="33"/>
          </w:tcPr>
          <w:p w14:paraId="4987EFFF" w14:textId="50D60149" w:rsidR="00472715" w:rsidRPr="000F19FD" w:rsidRDefault="00472715" w:rsidP="00472715">
            <w:pPr>
              <w:spacing w:before="120"/>
              <w:rPr>
                <w:rFonts w:cstheme="minorHAnsi"/>
                <w:lang w:val="en-US"/>
              </w:rPr>
            </w:pPr>
            <w:r>
              <w:rPr>
                <w:rFonts w:cstheme="minorHAnsi"/>
              </w:rPr>
              <w:t xml:space="preserve">This recommendation has been partially implemented. The </w:t>
            </w:r>
            <w:hyperlink r:id="rId76" w:history="1">
              <w:r w:rsidRPr="00A55A66">
                <w:rPr>
                  <w:rStyle w:val="Hyperlink"/>
                  <w:rFonts w:cstheme="minorHAnsi"/>
                  <w:lang w:val="en-US"/>
                </w:rPr>
                <w:t>Regional Development Framework</w:t>
              </w:r>
            </w:hyperlink>
            <w:r>
              <w:rPr>
                <w:rFonts w:cstheme="minorHAnsi"/>
                <w:lang w:val="en-US"/>
              </w:rPr>
              <w:t xml:space="preserve"> and the </w:t>
            </w:r>
            <w:hyperlink r:id="rId77" w:history="1">
              <w:r w:rsidRPr="00821C16">
                <w:rPr>
                  <w:rStyle w:val="Hyperlink"/>
                  <w:rFonts w:cstheme="minorHAnsi"/>
                  <w:lang w:val="en-US"/>
                </w:rPr>
                <w:t>Local Decision Making Policy</w:t>
              </w:r>
            </w:hyperlink>
            <w:r>
              <w:rPr>
                <w:rFonts w:cstheme="minorHAnsi"/>
                <w:lang w:val="en-US"/>
              </w:rPr>
              <w:t xml:space="preserve"> are quite general in nature. Although they address the second part of the recommendation by providing guidelines on working with local government, stakeholders, Land Councils, and local communities, it is not clear from the government’s description of implementation that these policies and the new budget management system will “</w:t>
            </w:r>
            <w:r w:rsidRPr="000F19FD">
              <w:rPr>
                <w:rFonts w:cstheme="minorHAnsi"/>
                <w:u w:val="single"/>
                <w:lang w:val="en-US"/>
              </w:rPr>
              <w:t>ensure</w:t>
            </w:r>
            <w:r w:rsidRPr="000F19FD">
              <w:rPr>
                <w:rFonts w:cstheme="minorHAnsi"/>
                <w:lang w:val="en-US"/>
              </w:rPr>
              <w:t xml:space="preserve"> that regions that are the source of taxation revenue benefit from any onshore shale gas extraction activity that has occurred in their region.</w:t>
            </w:r>
            <w:r w:rsidRPr="00462778">
              <w:rPr>
                <w:rFonts w:cstheme="minorHAnsi"/>
                <w:lang w:val="en-US"/>
              </w:rPr>
              <w:t>”</w:t>
            </w:r>
          </w:p>
          <w:p w14:paraId="46F4BA69" w14:textId="7F0EE186" w:rsidR="00472715" w:rsidRPr="00462778" w:rsidRDefault="00472715" w:rsidP="00472715">
            <w:pPr>
              <w:spacing w:before="120"/>
              <w:rPr>
                <w:rFonts w:cstheme="minorHAnsi"/>
                <w:lang w:val="en-US"/>
              </w:rPr>
            </w:pPr>
          </w:p>
        </w:tc>
      </w:tr>
      <w:tr w:rsidR="00472715" w:rsidRPr="00520C23" w14:paraId="53E3AA82" w14:textId="77777777" w:rsidTr="00EA3C33">
        <w:tc>
          <w:tcPr>
            <w:tcW w:w="846" w:type="dxa"/>
            <w:shd w:val="clear" w:color="auto" w:fill="auto"/>
          </w:tcPr>
          <w:p w14:paraId="66C371D6" w14:textId="502E8AB1" w:rsidR="00472715" w:rsidRPr="00520C23" w:rsidRDefault="00472715" w:rsidP="00472715">
            <w:pPr>
              <w:spacing w:before="120"/>
              <w:jc w:val="center"/>
              <w:rPr>
                <w:rFonts w:cstheme="minorHAnsi"/>
              </w:rPr>
            </w:pPr>
            <w:r w:rsidRPr="00520C23">
              <w:rPr>
                <w:rFonts w:cstheme="minorHAnsi"/>
              </w:rPr>
              <w:t>13.2</w:t>
            </w:r>
          </w:p>
        </w:tc>
        <w:tc>
          <w:tcPr>
            <w:tcW w:w="4819" w:type="dxa"/>
            <w:shd w:val="clear" w:color="auto" w:fill="FFFFFF" w:themeFill="background1"/>
          </w:tcPr>
          <w:p w14:paraId="72F30AB6" w14:textId="248B842A" w:rsidR="00472715" w:rsidRPr="00520C23" w:rsidRDefault="00472715" w:rsidP="00472715">
            <w:pPr>
              <w:spacing w:before="120"/>
              <w:rPr>
                <w:rFonts w:cstheme="minorHAnsi"/>
                <w:i/>
                <w:iCs/>
              </w:rPr>
            </w:pPr>
            <w:r w:rsidRPr="00520C23">
              <w:rPr>
                <w:rFonts w:cstheme="minorHAnsi"/>
                <w:i/>
                <w:iCs/>
              </w:rPr>
              <w:t>That the Government works with stakeholders and gas companies to ensure that there is early knowledge of the labour and skills required for all phases of any onshore shale gas development in order to maximise local employment.</w:t>
            </w:r>
          </w:p>
        </w:tc>
        <w:tc>
          <w:tcPr>
            <w:tcW w:w="11430" w:type="dxa"/>
            <w:gridSpan w:val="2"/>
            <w:shd w:val="clear" w:color="auto" w:fill="FFFFFF" w:themeFill="background1"/>
          </w:tcPr>
          <w:p w14:paraId="175A0D43" w14:textId="77777777" w:rsidR="00472715" w:rsidRPr="00520C23" w:rsidRDefault="00472715" w:rsidP="00472715">
            <w:pPr>
              <w:rPr>
                <w:rFonts w:cstheme="minorHAnsi"/>
              </w:rPr>
            </w:pPr>
            <w:r w:rsidRPr="00520C23">
              <w:rPr>
                <w:rFonts w:cstheme="minorHAnsi"/>
              </w:rPr>
              <w:t>In addition to some of the implementation measures laid out for Recommendation 12.14, the NT government add</w:t>
            </w:r>
            <w:r>
              <w:rPr>
                <w:rFonts w:cstheme="minorHAnsi"/>
              </w:rPr>
              <w:t>ed</w:t>
            </w:r>
            <w:r w:rsidRPr="00520C23">
              <w:rPr>
                <w:rFonts w:cstheme="minorHAnsi"/>
              </w:rPr>
              <w:t xml:space="preserve">: </w:t>
            </w:r>
          </w:p>
          <w:p w14:paraId="74BB7A2F" w14:textId="77777777" w:rsidR="00472715" w:rsidRPr="00520C23" w:rsidRDefault="00472715" w:rsidP="00472715">
            <w:pPr>
              <w:rPr>
                <w:rFonts w:cstheme="minorHAnsi"/>
              </w:rPr>
            </w:pPr>
          </w:p>
          <w:p w14:paraId="574B5BC7" w14:textId="77777777" w:rsidR="00472715" w:rsidRPr="002904B0" w:rsidRDefault="00472715" w:rsidP="00472715">
            <w:pPr>
              <w:rPr>
                <w:rFonts w:cstheme="minorHAnsi"/>
                <w:i/>
                <w:iCs/>
              </w:rPr>
            </w:pPr>
            <w:r w:rsidRPr="002904B0">
              <w:rPr>
                <w:rFonts w:cstheme="minorHAnsi"/>
                <w:i/>
                <w:iCs/>
              </w:rPr>
              <w:t>Government engagement with Beetaloo gas industry to understand supply chain principles, requirements, expectations and skills. This information will form the next level of detailed engagement with regional businesses and stakeholders.</w:t>
            </w:r>
          </w:p>
          <w:p w14:paraId="010CC121" w14:textId="77777777" w:rsidR="00472715" w:rsidRPr="00520C23" w:rsidRDefault="00472715" w:rsidP="00472715">
            <w:pPr>
              <w:rPr>
                <w:rFonts w:cstheme="minorHAnsi"/>
                <w:i/>
                <w:iCs/>
              </w:rPr>
            </w:pPr>
          </w:p>
          <w:p w14:paraId="6159CEAD" w14:textId="77777777" w:rsidR="00472715" w:rsidRPr="002904B0" w:rsidRDefault="00472715" w:rsidP="00472715">
            <w:pPr>
              <w:rPr>
                <w:rFonts w:cstheme="minorHAnsi"/>
                <w:i/>
                <w:iCs/>
              </w:rPr>
            </w:pPr>
            <w:r w:rsidRPr="002904B0">
              <w:rPr>
                <w:rFonts w:cstheme="minorHAnsi"/>
                <w:i/>
                <w:iCs/>
              </w:rPr>
              <w:t>Economic data will be published through Social Impact Management Plans and Environmental Management Plans to ensure that the public has access to information on local benefit opportunities.</w:t>
            </w:r>
          </w:p>
          <w:p w14:paraId="16DAD468" w14:textId="77777777" w:rsidR="00472715" w:rsidRPr="00520C23" w:rsidRDefault="00472715" w:rsidP="00472715">
            <w:pPr>
              <w:spacing w:before="120"/>
              <w:rPr>
                <w:rFonts w:cstheme="minorHAnsi"/>
                <w:b/>
                <w:bCs/>
                <w:i/>
                <w:iCs/>
              </w:rPr>
            </w:pPr>
          </w:p>
        </w:tc>
        <w:tc>
          <w:tcPr>
            <w:tcW w:w="5310" w:type="dxa"/>
            <w:shd w:val="clear" w:color="auto" w:fill="E2EFD9" w:themeFill="accent6" w:themeFillTint="33"/>
          </w:tcPr>
          <w:p w14:paraId="64134FA7" w14:textId="4D5AABD3" w:rsidR="00472715" w:rsidRPr="00520C23" w:rsidRDefault="00472715" w:rsidP="00472715">
            <w:pPr>
              <w:spacing w:before="120"/>
              <w:rPr>
                <w:rFonts w:cstheme="minorHAnsi"/>
              </w:rPr>
            </w:pPr>
            <w:r>
              <w:rPr>
                <w:rFonts w:cstheme="minorHAnsi"/>
              </w:rPr>
              <w:t>This recommendation has been adequately addressed.</w:t>
            </w:r>
          </w:p>
        </w:tc>
      </w:tr>
      <w:tr w:rsidR="00472715" w:rsidRPr="00520C23" w14:paraId="19527F5D" w14:textId="77777777" w:rsidTr="00EA3C33">
        <w:tc>
          <w:tcPr>
            <w:tcW w:w="846" w:type="dxa"/>
            <w:shd w:val="clear" w:color="auto" w:fill="auto"/>
          </w:tcPr>
          <w:p w14:paraId="60112C32" w14:textId="2A7E8EF4" w:rsidR="00472715" w:rsidRPr="00520C23" w:rsidRDefault="00472715" w:rsidP="00472715">
            <w:pPr>
              <w:spacing w:before="120"/>
              <w:jc w:val="center"/>
              <w:rPr>
                <w:rFonts w:cstheme="minorHAnsi"/>
              </w:rPr>
            </w:pPr>
            <w:r w:rsidRPr="00520C23">
              <w:rPr>
                <w:rFonts w:cstheme="minorHAnsi"/>
              </w:rPr>
              <w:t>13.3</w:t>
            </w:r>
          </w:p>
        </w:tc>
        <w:tc>
          <w:tcPr>
            <w:tcW w:w="4819" w:type="dxa"/>
            <w:shd w:val="clear" w:color="auto" w:fill="FFFFFF" w:themeFill="background1"/>
          </w:tcPr>
          <w:p w14:paraId="0DD95462" w14:textId="543EDD30" w:rsidR="00472715" w:rsidRPr="00520C23" w:rsidRDefault="00472715" w:rsidP="00472715">
            <w:pPr>
              <w:spacing w:before="120"/>
              <w:rPr>
                <w:rFonts w:cstheme="minorHAnsi"/>
                <w:i/>
                <w:iCs/>
              </w:rPr>
            </w:pPr>
            <w:r w:rsidRPr="00520C23">
              <w:rPr>
                <w:rFonts w:cstheme="minorHAnsi"/>
                <w:i/>
                <w:iCs/>
              </w:rPr>
              <w:t>That the Government works with gas companies, training providers, local workers, job seekers, Land Councils and local Aboriginal corporations and communities to maximise opportunities for local people to obtain employment during all phases of any onshore shale gas development.</w:t>
            </w:r>
          </w:p>
        </w:tc>
        <w:tc>
          <w:tcPr>
            <w:tcW w:w="11430" w:type="dxa"/>
            <w:gridSpan w:val="2"/>
            <w:shd w:val="clear" w:color="auto" w:fill="FFFFFF" w:themeFill="background1"/>
          </w:tcPr>
          <w:p w14:paraId="019B501E" w14:textId="0AB85D46" w:rsidR="00472715" w:rsidRPr="00520C23" w:rsidRDefault="00472715" w:rsidP="00472715">
            <w:pPr>
              <w:spacing w:before="120"/>
              <w:rPr>
                <w:rFonts w:cstheme="minorHAnsi"/>
              </w:rPr>
            </w:pPr>
            <w:r w:rsidRPr="00520C23">
              <w:rPr>
                <w:rFonts w:cstheme="minorHAnsi"/>
              </w:rPr>
              <w:t>The NT government lists local benefit reporting, government initiatives, and Barkly Regional Deal implementation (</w:t>
            </w:r>
            <w:r w:rsidRPr="00520C23">
              <w:rPr>
                <w:rFonts w:cstheme="minorHAnsi"/>
                <w:i/>
                <w:iCs/>
              </w:rPr>
              <w:t xml:space="preserve">see </w:t>
            </w:r>
            <w:r w:rsidRPr="00520C23">
              <w:rPr>
                <w:rFonts w:cstheme="minorHAnsi"/>
              </w:rPr>
              <w:t>Recommendation 12.14) in justifying the completed status for this recommendation.</w:t>
            </w:r>
          </w:p>
        </w:tc>
        <w:tc>
          <w:tcPr>
            <w:tcW w:w="5310" w:type="dxa"/>
            <w:shd w:val="clear" w:color="auto" w:fill="E2EFD9" w:themeFill="accent6" w:themeFillTint="33"/>
          </w:tcPr>
          <w:p w14:paraId="3E5D38A2" w14:textId="5DDEE9F2" w:rsidR="00472715" w:rsidRPr="00520C23" w:rsidRDefault="00472715" w:rsidP="00472715">
            <w:pPr>
              <w:spacing w:before="120"/>
              <w:rPr>
                <w:rFonts w:cstheme="minorHAnsi"/>
              </w:rPr>
            </w:pPr>
            <w:r>
              <w:rPr>
                <w:rFonts w:cstheme="minorHAnsi"/>
              </w:rPr>
              <w:t>This recommendation has been adequately addressed.</w:t>
            </w:r>
          </w:p>
        </w:tc>
      </w:tr>
      <w:tr w:rsidR="00472715" w:rsidRPr="00520C23" w14:paraId="52C73FBE" w14:textId="77777777" w:rsidTr="00EA3C33">
        <w:tc>
          <w:tcPr>
            <w:tcW w:w="846" w:type="dxa"/>
            <w:shd w:val="clear" w:color="auto" w:fill="auto"/>
          </w:tcPr>
          <w:p w14:paraId="0CECCFEE" w14:textId="4BC1C680" w:rsidR="00472715" w:rsidRPr="00520C23" w:rsidRDefault="00472715" w:rsidP="00472715">
            <w:pPr>
              <w:spacing w:before="120"/>
              <w:jc w:val="center"/>
              <w:rPr>
                <w:rFonts w:cstheme="minorHAnsi"/>
              </w:rPr>
            </w:pPr>
            <w:r w:rsidRPr="00520C23">
              <w:rPr>
                <w:rFonts w:cstheme="minorHAnsi"/>
              </w:rPr>
              <w:t>13.4</w:t>
            </w:r>
          </w:p>
        </w:tc>
        <w:tc>
          <w:tcPr>
            <w:tcW w:w="4819" w:type="dxa"/>
            <w:shd w:val="clear" w:color="auto" w:fill="FFFFFF" w:themeFill="background1"/>
          </w:tcPr>
          <w:p w14:paraId="73F19953" w14:textId="63E8F151" w:rsidR="00472715" w:rsidRPr="00520C23" w:rsidRDefault="00472715" w:rsidP="00472715">
            <w:pPr>
              <w:spacing w:before="120"/>
              <w:rPr>
                <w:rFonts w:cstheme="minorHAnsi"/>
                <w:i/>
                <w:iCs/>
              </w:rPr>
            </w:pPr>
            <w:r w:rsidRPr="00520C23">
              <w:rPr>
                <w:rFonts w:cstheme="minorHAnsi"/>
                <w:i/>
                <w:iCs/>
              </w:rPr>
              <w:t>That the Government ensures that training providers and gas companies collaborate so that skill requirements are clearly understood by training providers, and that trainees acquire appropriate skills.</w:t>
            </w:r>
          </w:p>
        </w:tc>
        <w:tc>
          <w:tcPr>
            <w:tcW w:w="11430" w:type="dxa"/>
            <w:gridSpan w:val="2"/>
            <w:shd w:val="clear" w:color="auto" w:fill="FFFFFF" w:themeFill="background1"/>
          </w:tcPr>
          <w:p w14:paraId="485EDD37" w14:textId="7A7EA1F0" w:rsidR="00472715" w:rsidRPr="00520C23" w:rsidRDefault="00472715" w:rsidP="00472715">
            <w:pPr>
              <w:spacing w:before="120"/>
              <w:rPr>
                <w:rFonts w:cstheme="minorHAnsi"/>
                <w:b/>
                <w:bCs/>
                <w:i/>
                <w:iCs/>
              </w:rPr>
            </w:pPr>
            <w:r w:rsidRPr="00520C23">
              <w:rPr>
                <w:rFonts w:cstheme="minorHAnsi"/>
              </w:rPr>
              <w:t>The NT government lists local benefit reporting, government initiatives, and Barkly Regional Deal implementation (</w:t>
            </w:r>
            <w:r w:rsidRPr="00520C23">
              <w:rPr>
                <w:rFonts w:cstheme="minorHAnsi"/>
                <w:i/>
                <w:iCs/>
              </w:rPr>
              <w:t xml:space="preserve">see </w:t>
            </w:r>
            <w:r w:rsidRPr="00520C23">
              <w:rPr>
                <w:rFonts w:cstheme="minorHAnsi"/>
              </w:rPr>
              <w:t>Recommendation 12.14) in justifying the completed status for this recommendation.</w:t>
            </w:r>
          </w:p>
        </w:tc>
        <w:tc>
          <w:tcPr>
            <w:tcW w:w="5310" w:type="dxa"/>
            <w:shd w:val="clear" w:color="auto" w:fill="E2EFD9" w:themeFill="accent6" w:themeFillTint="33"/>
          </w:tcPr>
          <w:p w14:paraId="7A5966BC" w14:textId="67177B82" w:rsidR="00472715" w:rsidRPr="00520C23" w:rsidRDefault="00472715" w:rsidP="00472715">
            <w:pPr>
              <w:spacing w:before="120"/>
              <w:rPr>
                <w:rFonts w:cstheme="minorHAnsi"/>
              </w:rPr>
            </w:pPr>
            <w:r>
              <w:rPr>
                <w:rFonts w:cstheme="minorHAnsi"/>
              </w:rPr>
              <w:t>This recommendation has been adequately addressed.</w:t>
            </w:r>
          </w:p>
        </w:tc>
      </w:tr>
      <w:tr w:rsidR="00472715" w:rsidRPr="00520C23" w14:paraId="54D55B5E" w14:textId="77777777" w:rsidTr="00EA3C33">
        <w:tc>
          <w:tcPr>
            <w:tcW w:w="846" w:type="dxa"/>
            <w:shd w:val="clear" w:color="auto" w:fill="auto"/>
          </w:tcPr>
          <w:p w14:paraId="731923E1" w14:textId="0AEA05DE" w:rsidR="00472715" w:rsidRPr="00520C23" w:rsidRDefault="00472715" w:rsidP="00472715">
            <w:pPr>
              <w:spacing w:before="120"/>
              <w:jc w:val="center"/>
              <w:rPr>
                <w:rFonts w:cstheme="minorHAnsi"/>
              </w:rPr>
            </w:pPr>
            <w:r w:rsidRPr="00520C23">
              <w:rPr>
                <w:rFonts w:cstheme="minorHAnsi"/>
              </w:rPr>
              <w:t>13.5</w:t>
            </w:r>
          </w:p>
        </w:tc>
        <w:tc>
          <w:tcPr>
            <w:tcW w:w="4819" w:type="dxa"/>
            <w:shd w:val="clear" w:color="auto" w:fill="FFFFFF" w:themeFill="background1"/>
          </w:tcPr>
          <w:p w14:paraId="2682716A" w14:textId="4EEFCEBE" w:rsidR="00472715" w:rsidRPr="00520C23" w:rsidRDefault="00472715" w:rsidP="00472715">
            <w:pPr>
              <w:spacing w:before="120"/>
              <w:rPr>
                <w:rFonts w:cstheme="minorHAnsi"/>
                <w:i/>
                <w:iCs/>
              </w:rPr>
            </w:pPr>
            <w:r w:rsidRPr="00520C23">
              <w:rPr>
                <w:rFonts w:cstheme="minorHAnsi"/>
                <w:i/>
                <w:iCs/>
              </w:rPr>
              <w:t>That the Government works with gas companies, training providers, Land Councils, local government, and local communities in the setting of local employment targets, including local employment targets for Aboriginal people.</w:t>
            </w:r>
          </w:p>
        </w:tc>
        <w:tc>
          <w:tcPr>
            <w:tcW w:w="11430" w:type="dxa"/>
            <w:gridSpan w:val="2"/>
            <w:shd w:val="clear" w:color="auto" w:fill="FFFFFF" w:themeFill="background1"/>
          </w:tcPr>
          <w:p w14:paraId="60DB3899" w14:textId="77777777" w:rsidR="00472715" w:rsidRPr="00520C23" w:rsidRDefault="00472715" w:rsidP="00472715">
            <w:pPr>
              <w:spacing w:before="120"/>
              <w:rPr>
                <w:rFonts w:cstheme="minorHAnsi"/>
              </w:rPr>
            </w:pPr>
            <w:r w:rsidRPr="00520C23">
              <w:rPr>
                <w:rFonts w:cstheme="minorHAnsi"/>
              </w:rPr>
              <w:t xml:space="preserve">In addition to the local benefit reporting and government initiatives described in the implementation progress for Recommendation 12.14, the NT government added: </w:t>
            </w:r>
          </w:p>
          <w:p w14:paraId="55171CCC" w14:textId="77777777" w:rsidR="00472715" w:rsidRPr="0007711E" w:rsidRDefault="00472715" w:rsidP="00472715">
            <w:pPr>
              <w:spacing w:before="120"/>
              <w:rPr>
                <w:rFonts w:cstheme="minorHAnsi"/>
                <w:i/>
                <w:iCs/>
              </w:rPr>
            </w:pPr>
            <w:r w:rsidRPr="0007711E">
              <w:rPr>
                <w:rFonts w:cstheme="minorHAnsi"/>
                <w:i/>
                <w:iCs/>
              </w:rPr>
              <w:t>In consultation with stakeholders, NT Government will work with industry in the setting of employment KPIs at agreed phases of onshore development. This will be delivered through the Onshore Supply Chain Working Group noting policies and requirements such as:</w:t>
            </w:r>
          </w:p>
          <w:p w14:paraId="72B8A86E" w14:textId="77777777" w:rsidR="00472715" w:rsidRPr="0007711E" w:rsidRDefault="00472715" w:rsidP="00472715">
            <w:pPr>
              <w:numPr>
                <w:ilvl w:val="0"/>
                <w:numId w:val="98"/>
              </w:numPr>
              <w:spacing w:before="120"/>
              <w:rPr>
                <w:rFonts w:cstheme="minorHAnsi"/>
                <w:i/>
                <w:iCs/>
              </w:rPr>
            </w:pPr>
            <w:r w:rsidRPr="0007711E">
              <w:rPr>
                <w:rFonts w:cstheme="minorHAnsi"/>
                <w:i/>
                <w:iCs/>
              </w:rPr>
              <w:t>Gas company employment needs and local employment skill capabilities</w:t>
            </w:r>
          </w:p>
          <w:p w14:paraId="31227A80" w14:textId="77777777" w:rsidR="00472715" w:rsidRPr="0007711E" w:rsidRDefault="00472715" w:rsidP="00472715">
            <w:pPr>
              <w:numPr>
                <w:ilvl w:val="0"/>
                <w:numId w:val="98"/>
              </w:numPr>
              <w:spacing w:before="120"/>
              <w:rPr>
                <w:rFonts w:cstheme="minorHAnsi"/>
                <w:i/>
                <w:iCs/>
              </w:rPr>
            </w:pPr>
            <w:r w:rsidRPr="0007711E">
              <w:rPr>
                <w:rFonts w:cstheme="minorHAnsi"/>
                <w:i/>
                <w:iCs/>
              </w:rPr>
              <w:t>Beetaloo Aboriginal Economic Development Strategy</w:t>
            </w:r>
          </w:p>
          <w:p w14:paraId="12C241C4" w14:textId="77777777" w:rsidR="00472715" w:rsidRPr="0007711E" w:rsidRDefault="00472715" w:rsidP="00472715">
            <w:pPr>
              <w:numPr>
                <w:ilvl w:val="0"/>
                <w:numId w:val="98"/>
              </w:numPr>
              <w:spacing w:before="120"/>
              <w:rPr>
                <w:rFonts w:cstheme="minorHAnsi"/>
                <w:i/>
                <w:iCs/>
              </w:rPr>
            </w:pPr>
            <w:r w:rsidRPr="0007711E">
              <w:rPr>
                <w:rFonts w:cstheme="minorHAnsi"/>
                <w:i/>
                <w:iCs/>
              </w:rPr>
              <w:t>Barkly Regional Workforce Strategy</w:t>
            </w:r>
          </w:p>
          <w:p w14:paraId="4161B7B2" w14:textId="77777777" w:rsidR="00472715" w:rsidRPr="0007711E" w:rsidRDefault="00472715" w:rsidP="00472715">
            <w:pPr>
              <w:numPr>
                <w:ilvl w:val="0"/>
                <w:numId w:val="98"/>
              </w:numPr>
              <w:spacing w:before="120"/>
              <w:rPr>
                <w:rFonts w:cstheme="minorHAnsi"/>
                <w:i/>
                <w:iCs/>
              </w:rPr>
            </w:pPr>
            <w:r w:rsidRPr="0007711E">
              <w:rPr>
                <w:rFonts w:cstheme="minorHAnsi"/>
                <w:i/>
                <w:iCs/>
              </w:rPr>
              <w:t>Barkly Economic Growth Strategy</w:t>
            </w:r>
          </w:p>
          <w:p w14:paraId="5CD10A0B" w14:textId="77777777" w:rsidR="00472715" w:rsidRPr="0007711E" w:rsidRDefault="00472715" w:rsidP="00472715">
            <w:pPr>
              <w:numPr>
                <w:ilvl w:val="0"/>
                <w:numId w:val="98"/>
              </w:numPr>
              <w:spacing w:before="120"/>
              <w:rPr>
                <w:rFonts w:cstheme="minorHAnsi"/>
                <w:i/>
                <w:iCs/>
              </w:rPr>
            </w:pPr>
            <w:r w:rsidRPr="0007711E">
              <w:rPr>
                <w:rFonts w:cstheme="minorHAnsi"/>
                <w:i/>
                <w:iCs/>
              </w:rPr>
              <w:t>Aboriginal Economic Participation Framework 2022-2032 and the NT Government’s Aboriginal Procurement Policy.</w:t>
            </w:r>
          </w:p>
          <w:p w14:paraId="10083B7E" w14:textId="77777777" w:rsidR="00472715" w:rsidRPr="00520C23" w:rsidRDefault="00472715" w:rsidP="00472715">
            <w:pPr>
              <w:spacing w:before="120"/>
              <w:rPr>
                <w:rFonts w:cstheme="minorHAnsi"/>
                <w:b/>
                <w:bCs/>
                <w:i/>
                <w:iCs/>
              </w:rPr>
            </w:pPr>
          </w:p>
        </w:tc>
        <w:tc>
          <w:tcPr>
            <w:tcW w:w="5310" w:type="dxa"/>
            <w:shd w:val="clear" w:color="auto" w:fill="FFF2CC" w:themeFill="accent4" w:themeFillTint="33"/>
          </w:tcPr>
          <w:p w14:paraId="26DF0526" w14:textId="429B5F99" w:rsidR="00472715" w:rsidRPr="00520C23" w:rsidRDefault="00472715" w:rsidP="00472715">
            <w:pPr>
              <w:spacing w:before="120"/>
              <w:rPr>
                <w:rFonts w:cstheme="minorHAnsi"/>
              </w:rPr>
            </w:pPr>
            <w:r>
              <w:rPr>
                <w:rFonts w:cstheme="minorHAnsi"/>
              </w:rPr>
              <w:t xml:space="preserve">It appears local employment targets, including targets for Aboriginal people, have not been set yet.  </w:t>
            </w:r>
            <w:r w:rsidRPr="00520C23">
              <w:rPr>
                <w:rFonts w:cstheme="minorHAnsi"/>
              </w:rPr>
              <w:t xml:space="preserve">The implementation progress description </w:t>
            </w:r>
            <w:r>
              <w:rPr>
                <w:rFonts w:cstheme="minorHAnsi"/>
              </w:rPr>
              <w:t xml:space="preserve">seems to only discuss the setting of local employment targets as a task that </w:t>
            </w:r>
            <w:r w:rsidRPr="00161963">
              <w:rPr>
                <w:rFonts w:cstheme="minorHAnsi"/>
                <w:i/>
                <w:iCs/>
              </w:rPr>
              <w:t xml:space="preserve">will be </w:t>
            </w:r>
            <w:r>
              <w:rPr>
                <w:rFonts w:cstheme="minorHAnsi"/>
              </w:rPr>
              <w:t xml:space="preserve">completed, and it is not clear what timeline the NT government will follow in setting them. </w:t>
            </w:r>
          </w:p>
        </w:tc>
      </w:tr>
      <w:tr w:rsidR="00472715" w:rsidRPr="00520C23" w14:paraId="2F8DCBA0" w14:textId="77777777" w:rsidTr="00EA3C33">
        <w:tc>
          <w:tcPr>
            <w:tcW w:w="846" w:type="dxa"/>
            <w:shd w:val="clear" w:color="auto" w:fill="auto"/>
          </w:tcPr>
          <w:p w14:paraId="181F19D1" w14:textId="43A51FB2" w:rsidR="00472715" w:rsidRPr="00520C23" w:rsidRDefault="00472715" w:rsidP="00472715">
            <w:pPr>
              <w:spacing w:before="120"/>
              <w:jc w:val="center"/>
              <w:rPr>
                <w:rFonts w:cstheme="minorHAnsi"/>
              </w:rPr>
            </w:pPr>
            <w:r w:rsidRPr="00520C23">
              <w:rPr>
                <w:rFonts w:cstheme="minorHAnsi"/>
              </w:rPr>
              <w:t>13.6</w:t>
            </w:r>
          </w:p>
        </w:tc>
        <w:tc>
          <w:tcPr>
            <w:tcW w:w="4819" w:type="dxa"/>
            <w:shd w:val="clear" w:color="auto" w:fill="FFFFFF" w:themeFill="background1"/>
          </w:tcPr>
          <w:p w14:paraId="7C2E1348" w14:textId="30BDC23C" w:rsidR="00472715" w:rsidRPr="00520C23" w:rsidRDefault="00472715" w:rsidP="00472715">
            <w:pPr>
              <w:spacing w:before="120"/>
              <w:rPr>
                <w:rFonts w:cstheme="minorHAnsi"/>
                <w:i/>
                <w:iCs/>
              </w:rPr>
            </w:pPr>
            <w:r w:rsidRPr="00520C23">
              <w:rPr>
                <w:rFonts w:cstheme="minorHAnsi"/>
                <w:i/>
                <w:iCs/>
              </w:rPr>
              <w:t>That the Government works with gas companies and local suppliers to ensure that there is early knowledge of local supply and service opportunities for all phases of any onshore shale gas development.</w:t>
            </w:r>
          </w:p>
        </w:tc>
        <w:tc>
          <w:tcPr>
            <w:tcW w:w="11430" w:type="dxa"/>
            <w:gridSpan w:val="2"/>
            <w:shd w:val="clear" w:color="auto" w:fill="FFFFFF" w:themeFill="background1"/>
          </w:tcPr>
          <w:p w14:paraId="7AD15814" w14:textId="77777777" w:rsidR="00472715" w:rsidRPr="006E2586" w:rsidRDefault="00472715" w:rsidP="00472715">
            <w:pPr>
              <w:spacing w:before="120"/>
              <w:rPr>
                <w:rFonts w:cstheme="minorHAnsi"/>
              </w:rPr>
            </w:pPr>
            <w:r w:rsidRPr="00520C23">
              <w:rPr>
                <w:rFonts w:cstheme="minorHAnsi"/>
              </w:rPr>
              <w:t>In addition to the local benefit reporting</w:t>
            </w:r>
            <w:r>
              <w:rPr>
                <w:rFonts w:cstheme="minorHAnsi"/>
              </w:rPr>
              <w:t>,</w:t>
            </w:r>
            <w:r w:rsidRPr="00520C23">
              <w:rPr>
                <w:rFonts w:cstheme="minorHAnsi"/>
              </w:rPr>
              <w:t xml:space="preserve"> government initiatives</w:t>
            </w:r>
            <w:r>
              <w:rPr>
                <w:rFonts w:cstheme="minorHAnsi"/>
              </w:rPr>
              <w:t>, NT Business Hub, and NT Beetaloo Skills Audit</w:t>
            </w:r>
            <w:r w:rsidRPr="00520C23">
              <w:rPr>
                <w:rFonts w:cstheme="minorHAnsi"/>
              </w:rPr>
              <w:t xml:space="preserve"> described in the implementation progress for Recommendation 12.14, the NT government added: </w:t>
            </w:r>
          </w:p>
          <w:p w14:paraId="4C2CE0C4" w14:textId="77777777" w:rsidR="00472715" w:rsidRPr="00520C23" w:rsidRDefault="00472715" w:rsidP="00472715">
            <w:pPr>
              <w:spacing w:before="120"/>
              <w:rPr>
                <w:rFonts w:cstheme="minorHAnsi"/>
                <w:i/>
                <w:iCs/>
              </w:rPr>
            </w:pPr>
            <w:r w:rsidRPr="00520C23">
              <w:rPr>
                <w:rFonts w:cstheme="minorHAnsi"/>
                <w:i/>
                <w:iCs/>
              </w:rPr>
              <w:t>Implementation of the </w:t>
            </w:r>
            <w:hyperlink r:id="rId78" w:history="1">
              <w:r w:rsidRPr="00520C23">
                <w:rPr>
                  <w:rStyle w:val="Hyperlink"/>
                  <w:rFonts w:cstheme="minorHAnsi"/>
                  <w:i/>
                  <w:iCs/>
                </w:rPr>
                <w:t>Gas Service and Supply Plan</w:t>
              </w:r>
            </w:hyperlink>
            <w:r>
              <w:rPr>
                <w:rFonts w:cstheme="minorHAnsi"/>
              </w:rPr>
              <w:t>*</w:t>
            </w:r>
            <w:r w:rsidRPr="00520C23">
              <w:rPr>
                <w:rFonts w:cstheme="minorHAnsi"/>
                <w:i/>
                <w:iCs/>
              </w:rPr>
              <w:t> that was launched on 5 March 2020 to increase local participation in the gas industry.</w:t>
            </w:r>
          </w:p>
          <w:p w14:paraId="70B78F73" w14:textId="77777777" w:rsidR="00472715" w:rsidRPr="00520C23" w:rsidRDefault="00472715" w:rsidP="00472715">
            <w:pPr>
              <w:spacing w:before="120"/>
              <w:rPr>
                <w:rFonts w:cstheme="minorHAnsi"/>
                <w:i/>
                <w:iCs/>
              </w:rPr>
            </w:pPr>
            <w:r w:rsidRPr="00520C23">
              <w:rPr>
                <w:rFonts w:cstheme="minorHAnsi"/>
                <w:i/>
                <w:iCs/>
              </w:rPr>
              <w:t>…</w:t>
            </w:r>
          </w:p>
          <w:p w14:paraId="4D071D39" w14:textId="77777777" w:rsidR="00472715" w:rsidRPr="00CB4BD7" w:rsidRDefault="00472715" w:rsidP="00472715">
            <w:pPr>
              <w:spacing w:before="120"/>
              <w:rPr>
                <w:rFonts w:cstheme="minorHAnsi"/>
                <w:i/>
                <w:iCs/>
              </w:rPr>
            </w:pPr>
            <w:r w:rsidRPr="00CB4BD7">
              <w:rPr>
                <w:rFonts w:cstheme="minorHAnsi"/>
                <w:i/>
                <w:iCs/>
              </w:rPr>
              <w:t>There is ongoing government and industry engagement through forums such as the Onshore Supply Chain Working Group to understand service and supply opportunities.</w:t>
            </w:r>
          </w:p>
          <w:p w14:paraId="24F8E3A8" w14:textId="77777777" w:rsidR="00472715" w:rsidRPr="00CB4BD7" w:rsidRDefault="00472715" w:rsidP="00472715">
            <w:pPr>
              <w:spacing w:before="120"/>
              <w:rPr>
                <w:rFonts w:cstheme="minorHAnsi"/>
                <w:i/>
                <w:iCs/>
              </w:rPr>
            </w:pPr>
            <w:r w:rsidRPr="00CB4BD7">
              <w:rPr>
                <w:rFonts w:cstheme="minorHAnsi"/>
                <w:i/>
                <w:iCs/>
              </w:rPr>
              <w:lastRenderedPageBreak/>
              <w:t>There is ongoing government engagement with industry to have an understanding of supply chain principles, requirements, expectations and skills. This information will form the next level of detailed engagement with regional businesses and stakeholders.</w:t>
            </w:r>
          </w:p>
          <w:p w14:paraId="7B427699" w14:textId="77777777" w:rsidR="00472715" w:rsidRPr="00CB4BD7" w:rsidRDefault="00472715" w:rsidP="00472715">
            <w:pPr>
              <w:spacing w:before="120"/>
              <w:rPr>
                <w:rFonts w:cstheme="minorHAnsi"/>
                <w:i/>
                <w:iCs/>
              </w:rPr>
            </w:pPr>
            <w:r w:rsidRPr="00CB4BD7">
              <w:rPr>
                <w:rFonts w:cstheme="minorHAnsi"/>
                <w:i/>
                <w:iCs/>
              </w:rPr>
              <w:t>Identify and measure local benefit outcomes of onshore industry activities in the Territory are realised through analysis conducted on proponents' procurement data via organisations such as the Industry Capability Network Northern Territory.</w:t>
            </w:r>
          </w:p>
          <w:p w14:paraId="3FCCD23A" w14:textId="77777777" w:rsidR="00472715" w:rsidRPr="00CB4BD7" w:rsidRDefault="00472715" w:rsidP="00472715">
            <w:pPr>
              <w:spacing w:before="120"/>
              <w:rPr>
                <w:rFonts w:cstheme="minorHAnsi"/>
                <w:i/>
                <w:iCs/>
              </w:rPr>
            </w:pPr>
            <w:r w:rsidRPr="00CB4BD7">
              <w:rPr>
                <w:rFonts w:cstheme="minorHAnsi"/>
                <w:i/>
                <w:iCs/>
              </w:rPr>
              <w:t>NT Government released the Aboriginal Economic Participation Framework 2022-2032 and the Aboriginal Procurement Policy.</w:t>
            </w:r>
          </w:p>
          <w:p w14:paraId="2FA9E4A5" w14:textId="77777777" w:rsidR="00472715" w:rsidRPr="00CB4BD7" w:rsidRDefault="00472715" w:rsidP="00472715">
            <w:pPr>
              <w:spacing w:before="120"/>
              <w:rPr>
                <w:rFonts w:cstheme="minorHAnsi"/>
                <w:i/>
                <w:iCs/>
              </w:rPr>
            </w:pPr>
            <w:r w:rsidRPr="00CB4BD7">
              <w:rPr>
                <w:rFonts w:cstheme="minorHAnsi"/>
                <w:i/>
                <w:iCs/>
              </w:rPr>
              <w:t>NT Government is leading delegations of industry and business representatives to conferences such as the Australasian Oil and Gas Expo and Conference (AOG Energy) as an important opportunity to promote the Territory’s capacity.</w:t>
            </w:r>
          </w:p>
          <w:p w14:paraId="23B56529" w14:textId="77777777" w:rsidR="00472715" w:rsidRDefault="00472715" w:rsidP="00472715">
            <w:pPr>
              <w:spacing w:before="120"/>
              <w:rPr>
                <w:rFonts w:cstheme="minorHAnsi"/>
                <w:i/>
                <w:iCs/>
              </w:rPr>
            </w:pPr>
          </w:p>
          <w:p w14:paraId="293D0735" w14:textId="00F699DC" w:rsidR="00472715" w:rsidRPr="00520C23" w:rsidRDefault="00472715" w:rsidP="00472715">
            <w:pPr>
              <w:spacing w:before="120"/>
              <w:rPr>
                <w:rFonts w:cstheme="minorHAnsi"/>
                <w:i/>
                <w:iCs/>
              </w:rPr>
            </w:pPr>
            <w:r>
              <w:rPr>
                <w:rFonts w:cstheme="minorHAnsi"/>
                <w:i/>
                <w:iCs/>
              </w:rPr>
              <w:t>*</w:t>
            </w:r>
            <w:r>
              <w:rPr>
                <w:rFonts w:cstheme="minorHAnsi"/>
              </w:rPr>
              <w:t xml:space="preserve"> The Gas Service and Supply Plan sets a goal of doubling location participation in the gas industry supply chain to at least 50% by 2025.</w:t>
            </w:r>
          </w:p>
        </w:tc>
        <w:tc>
          <w:tcPr>
            <w:tcW w:w="5310" w:type="dxa"/>
            <w:shd w:val="clear" w:color="auto" w:fill="E2EFD9" w:themeFill="accent6" w:themeFillTint="33"/>
          </w:tcPr>
          <w:p w14:paraId="254A5439" w14:textId="0F7936BC" w:rsidR="00472715" w:rsidRPr="00520C23" w:rsidRDefault="00472715" w:rsidP="00472715">
            <w:pPr>
              <w:spacing w:before="120"/>
              <w:rPr>
                <w:rFonts w:cstheme="minorHAnsi"/>
              </w:rPr>
            </w:pPr>
            <w:r>
              <w:rPr>
                <w:rFonts w:cstheme="minorHAnsi"/>
              </w:rPr>
              <w:lastRenderedPageBreak/>
              <w:t xml:space="preserve">This recommendation has been adequately addressed. </w:t>
            </w:r>
          </w:p>
        </w:tc>
      </w:tr>
      <w:tr w:rsidR="00472715" w:rsidRPr="00520C23" w14:paraId="6C5F127F" w14:textId="77777777" w:rsidTr="00EA3C33">
        <w:tc>
          <w:tcPr>
            <w:tcW w:w="846" w:type="dxa"/>
            <w:shd w:val="clear" w:color="auto" w:fill="auto"/>
          </w:tcPr>
          <w:p w14:paraId="6DC98673" w14:textId="38358B69" w:rsidR="00472715" w:rsidRPr="00520C23" w:rsidRDefault="00472715" w:rsidP="00472715">
            <w:pPr>
              <w:spacing w:before="120"/>
              <w:jc w:val="center"/>
              <w:rPr>
                <w:rFonts w:cstheme="minorHAnsi"/>
              </w:rPr>
            </w:pPr>
            <w:r w:rsidRPr="00520C23">
              <w:rPr>
                <w:rFonts w:cstheme="minorHAnsi"/>
              </w:rPr>
              <w:t>13.7</w:t>
            </w:r>
          </w:p>
        </w:tc>
        <w:tc>
          <w:tcPr>
            <w:tcW w:w="4819" w:type="dxa"/>
            <w:shd w:val="clear" w:color="auto" w:fill="FFFFFF" w:themeFill="background1"/>
          </w:tcPr>
          <w:p w14:paraId="6737D4FF" w14:textId="79321A90" w:rsidR="00472715" w:rsidRPr="00520C23" w:rsidRDefault="00472715" w:rsidP="00472715">
            <w:pPr>
              <w:spacing w:before="120"/>
              <w:rPr>
                <w:rFonts w:cstheme="minorHAnsi"/>
                <w:i/>
                <w:iCs/>
              </w:rPr>
            </w:pPr>
            <w:r w:rsidRPr="00520C23">
              <w:rPr>
                <w:rFonts w:cstheme="minorHAnsi"/>
                <w:i/>
                <w:iCs/>
              </w:rPr>
              <w:t>That the Government works with gas companies and local suppliers (regional and Territory wide) to identify immediate supply opportunities and to facilitate future potential supply opportunities. This should be done in consultation with the ICN-NT and the Chamber of Commerce.</w:t>
            </w:r>
          </w:p>
        </w:tc>
        <w:tc>
          <w:tcPr>
            <w:tcW w:w="11430" w:type="dxa"/>
            <w:gridSpan w:val="2"/>
            <w:shd w:val="clear" w:color="auto" w:fill="FFFFFF" w:themeFill="background1"/>
          </w:tcPr>
          <w:p w14:paraId="1231FF8D" w14:textId="77777777" w:rsidR="00472715" w:rsidRPr="00C736E6" w:rsidRDefault="00472715" w:rsidP="00472715">
            <w:pPr>
              <w:spacing w:before="120"/>
              <w:rPr>
                <w:rFonts w:cstheme="minorHAnsi"/>
              </w:rPr>
            </w:pPr>
            <w:r w:rsidRPr="00520C23">
              <w:rPr>
                <w:rFonts w:cstheme="minorHAnsi"/>
              </w:rPr>
              <w:t xml:space="preserve">In addition to the local benefit reporting and government initiatives described in the implementation progress for Recommendation 12.14, the NT government added: </w:t>
            </w:r>
          </w:p>
          <w:p w14:paraId="232573CE" w14:textId="77777777" w:rsidR="00472715" w:rsidRPr="00C736E6" w:rsidRDefault="00472715" w:rsidP="00472715">
            <w:pPr>
              <w:spacing w:before="120"/>
              <w:rPr>
                <w:rFonts w:cstheme="minorHAnsi"/>
                <w:i/>
                <w:iCs/>
                <w:lang w:val="en-US"/>
              </w:rPr>
            </w:pPr>
            <w:r w:rsidRPr="00C736E6">
              <w:rPr>
                <w:rFonts w:cstheme="minorHAnsi"/>
                <w:i/>
                <w:iCs/>
                <w:lang w:val="en-US"/>
              </w:rPr>
              <w:t>The NT Onshore Gas Support Industry – Statement of Capacity was published by </w:t>
            </w:r>
            <w:hyperlink r:id="rId79" w:history="1">
              <w:r w:rsidRPr="00C736E6">
                <w:rPr>
                  <w:rStyle w:val="Hyperlink"/>
                  <w:rFonts w:cstheme="minorHAnsi"/>
                  <w:i/>
                  <w:iCs/>
                  <w:lang w:val="en-US"/>
                </w:rPr>
                <w:t>the Industry Capability Network Northern Territory in March 2020</w:t>
              </w:r>
            </w:hyperlink>
            <w:r w:rsidRPr="00C736E6">
              <w:rPr>
                <w:rFonts w:cstheme="minorHAnsi"/>
                <w:i/>
                <w:iCs/>
                <w:lang w:val="en-US"/>
              </w:rPr>
              <w:t>.</w:t>
            </w:r>
          </w:p>
          <w:p w14:paraId="6ED8666C" w14:textId="77777777" w:rsidR="00472715" w:rsidRPr="00C736E6" w:rsidRDefault="00472715" w:rsidP="00472715">
            <w:pPr>
              <w:spacing w:before="120"/>
              <w:rPr>
                <w:rFonts w:cstheme="minorHAnsi"/>
                <w:i/>
                <w:iCs/>
                <w:lang w:val="en-US"/>
              </w:rPr>
            </w:pPr>
            <w:r w:rsidRPr="00C736E6">
              <w:rPr>
                <w:rFonts w:cstheme="minorHAnsi"/>
                <w:i/>
                <w:iCs/>
                <w:lang w:val="en-US"/>
              </w:rPr>
              <w:t>There is ongoing government and industry consultation with the Industry Capability Network Northern Territory and the Chamber of Commerce Northern Territory to:</w:t>
            </w:r>
          </w:p>
          <w:p w14:paraId="7EDE2D19" w14:textId="77777777" w:rsidR="00472715" w:rsidRPr="00C736E6" w:rsidRDefault="00472715" w:rsidP="00472715">
            <w:pPr>
              <w:numPr>
                <w:ilvl w:val="0"/>
                <w:numId w:val="99"/>
              </w:numPr>
              <w:spacing w:before="120"/>
              <w:rPr>
                <w:rFonts w:cstheme="minorHAnsi"/>
                <w:i/>
                <w:iCs/>
                <w:lang w:val="en-US"/>
              </w:rPr>
            </w:pPr>
            <w:r w:rsidRPr="00C736E6">
              <w:rPr>
                <w:rFonts w:cstheme="minorHAnsi"/>
                <w:i/>
                <w:iCs/>
                <w:lang w:val="en-US"/>
              </w:rPr>
              <w:t>Conduct targeted local business capability assessments to support engagement local in the exploration procurement stage</w:t>
            </w:r>
          </w:p>
          <w:p w14:paraId="2C751FA1" w14:textId="77777777" w:rsidR="00472715" w:rsidRPr="00C736E6" w:rsidRDefault="00472715" w:rsidP="00472715">
            <w:pPr>
              <w:numPr>
                <w:ilvl w:val="0"/>
                <w:numId w:val="99"/>
              </w:numPr>
              <w:spacing w:before="120"/>
              <w:rPr>
                <w:rFonts w:cstheme="minorHAnsi"/>
                <w:i/>
                <w:iCs/>
                <w:lang w:val="en-US"/>
              </w:rPr>
            </w:pPr>
            <w:r w:rsidRPr="00C736E6">
              <w:rPr>
                <w:rFonts w:cstheme="minorHAnsi"/>
                <w:i/>
                <w:iCs/>
                <w:lang w:val="en-US"/>
              </w:rPr>
              <w:t>Support Territory enterprises to understand opportunities in the gas sector.</w:t>
            </w:r>
          </w:p>
          <w:p w14:paraId="244B2D98" w14:textId="77777777" w:rsidR="00472715" w:rsidRPr="00C736E6" w:rsidRDefault="00472715" w:rsidP="00472715">
            <w:pPr>
              <w:spacing w:before="120"/>
              <w:rPr>
                <w:rFonts w:cstheme="minorHAnsi"/>
                <w:i/>
                <w:iCs/>
                <w:lang w:val="en-US"/>
              </w:rPr>
            </w:pPr>
            <w:r w:rsidRPr="00C736E6">
              <w:rPr>
                <w:rFonts w:cstheme="minorHAnsi"/>
                <w:i/>
                <w:iCs/>
                <w:lang w:val="en-US"/>
              </w:rPr>
              <w:t>There is ongoing government engagement with industry to have an understanding of supply chain principles, requirements, expectations and skills. This information will form the next level of detailed engagement with regional businesses and stakeholders.</w:t>
            </w:r>
          </w:p>
          <w:p w14:paraId="7320EC58" w14:textId="77777777" w:rsidR="00472715" w:rsidRPr="00C736E6" w:rsidRDefault="00472715" w:rsidP="00472715">
            <w:pPr>
              <w:spacing w:before="120"/>
              <w:rPr>
                <w:rFonts w:cstheme="minorHAnsi"/>
                <w:i/>
                <w:iCs/>
                <w:lang w:val="en-US"/>
              </w:rPr>
            </w:pPr>
            <w:r w:rsidRPr="00C736E6">
              <w:rPr>
                <w:rFonts w:cstheme="minorHAnsi"/>
                <w:i/>
                <w:iCs/>
                <w:lang w:val="en-US"/>
              </w:rPr>
              <w:t>There are industry-led liaison meetings, town briefings and community consultation.</w:t>
            </w:r>
          </w:p>
          <w:p w14:paraId="5117DAC9" w14:textId="77777777" w:rsidR="00472715" w:rsidRPr="00C736E6" w:rsidRDefault="00472715" w:rsidP="00472715">
            <w:pPr>
              <w:spacing w:before="120"/>
              <w:rPr>
                <w:rFonts w:cstheme="minorHAnsi"/>
                <w:i/>
                <w:iCs/>
                <w:lang w:val="en-US"/>
              </w:rPr>
            </w:pPr>
            <w:r w:rsidRPr="00C736E6">
              <w:rPr>
                <w:rFonts w:cstheme="minorHAnsi"/>
                <w:i/>
                <w:iCs/>
                <w:lang w:val="en-US"/>
              </w:rPr>
              <w:t>NT Government holds regular (annual) information sessions to inform local businesses of upcoming work, pre-qualification/contract requirements and the process to register interest in project opportunities.</w:t>
            </w:r>
          </w:p>
          <w:p w14:paraId="1B3143BD" w14:textId="77777777" w:rsidR="00472715" w:rsidRPr="00C736E6" w:rsidRDefault="00472715" w:rsidP="00472715">
            <w:pPr>
              <w:spacing w:before="120"/>
              <w:rPr>
                <w:rFonts w:cstheme="minorHAnsi"/>
                <w:i/>
                <w:iCs/>
                <w:lang w:val="en-US"/>
              </w:rPr>
            </w:pPr>
            <w:r w:rsidRPr="00C736E6">
              <w:rPr>
                <w:rFonts w:cstheme="minorHAnsi"/>
                <w:i/>
                <w:iCs/>
                <w:lang w:val="en-US"/>
              </w:rPr>
              <w:t>Identify and measure local benefit outcomes of onshore industry activities in the Territory are realised through analysis conducted on proponents' procurement data via organisations such as the Industry Capability Network Northern Territory.</w:t>
            </w:r>
          </w:p>
          <w:p w14:paraId="4C0060A8" w14:textId="77777777" w:rsidR="00472715" w:rsidRPr="00C736E6" w:rsidRDefault="00472715" w:rsidP="00472715">
            <w:pPr>
              <w:spacing w:before="120"/>
              <w:rPr>
                <w:rFonts w:cstheme="minorHAnsi"/>
                <w:i/>
                <w:iCs/>
                <w:lang w:val="en-US"/>
              </w:rPr>
            </w:pPr>
            <w:r w:rsidRPr="00C736E6">
              <w:rPr>
                <w:rFonts w:cstheme="minorHAnsi"/>
                <w:i/>
                <w:iCs/>
                <w:lang w:val="en-US"/>
              </w:rPr>
              <w:t>NT Government released the Aboriginal Economic Participation Framework 2022-2032 and the Aboriginal Procurement Policy.</w:t>
            </w:r>
          </w:p>
          <w:p w14:paraId="4588F34F" w14:textId="77777777" w:rsidR="00472715" w:rsidRPr="00C736E6" w:rsidRDefault="00472715" w:rsidP="00472715">
            <w:pPr>
              <w:spacing w:before="120"/>
              <w:rPr>
                <w:rFonts w:cstheme="minorHAnsi"/>
                <w:i/>
                <w:iCs/>
                <w:lang w:val="en-US"/>
              </w:rPr>
            </w:pPr>
            <w:r w:rsidRPr="00C736E6">
              <w:rPr>
                <w:rFonts w:cstheme="minorHAnsi"/>
                <w:i/>
                <w:iCs/>
                <w:lang w:val="en-US"/>
              </w:rPr>
              <w:t>The Northern Territory Business Hub, announced in March 2022, will be delivered by the Northern Territory Indigenous Business Network with satellite offices across the Northern Territory.</w:t>
            </w:r>
          </w:p>
          <w:p w14:paraId="31EAF537" w14:textId="77777777" w:rsidR="00472715" w:rsidRPr="00C736E6" w:rsidRDefault="00472715" w:rsidP="00472715">
            <w:pPr>
              <w:spacing w:before="120"/>
              <w:rPr>
                <w:rFonts w:cstheme="minorHAnsi"/>
                <w:i/>
                <w:iCs/>
                <w:lang w:val="en-US"/>
              </w:rPr>
            </w:pPr>
            <w:r w:rsidRPr="00C736E6">
              <w:rPr>
                <w:rFonts w:cstheme="minorHAnsi"/>
                <w:i/>
                <w:iCs/>
                <w:lang w:val="en-US"/>
              </w:rPr>
              <w:t>The NT Indigenous Business Network has been engaged to facilitate opportunities for Indigenous businesses and identify potential Aboriginal businesses.</w:t>
            </w:r>
          </w:p>
          <w:p w14:paraId="04BDA070" w14:textId="77777777" w:rsidR="00472715" w:rsidRPr="00C736E6" w:rsidRDefault="00472715" w:rsidP="00472715">
            <w:pPr>
              <w:spacing w:before="120"/>
              <w:rPr>
                <w:rFonts w:cstheme="minorHAnsi"/>
                <w:b/>
                <w:bCs/>
                <w:i/>
                <w:iCs/>
                <w:lang w:val="en-US"/>
              </w:rPr>
            </w:pPr>
          </w:p>
        </w:tc>
        <w:tc>
          <w:tcPr>
            <w:tcW w:w="5310" w:type="dxa"/>
            <w:shd w:val="clear" w:color="auto" w:fill="E2EFD9" w:themeFill="accent6" w:themeFillTint="33"/>
          </w:tcPr>
          <w:p w14:paraId="79C0969E" w14:textId="1DCE1ED1" w:rsidR="00472715" w:rsidRPr="00520C23" w:rsidRDefault="00472715" w:rsidP="00472715">
            <w:pPr>
              <w:spacing w:before="120"/>
              <w:rPr>
                <w:rFonts w:cstheme="minorHAnsi"/>
              </w:rPr>
            </w:pPr>
            <w:r>
              <w:rPr>
                <w:rFonts w:cstheme="minorHAnsi"/>
              </w:rPr>
              <w:t xml:space="preserve">This recommendation has been adequately addressed. The </w:t>
            </w:r>
            <w:hyperlink r:id="rId80" w:anchor="nt" w:history="1">
              <w:r>
                <w:rPr>
                  <w:rStyle w:val="Hyperlink"/>
                  <w:rFonts w:cstheme="minorHAnsi"/>
                </w:rPr>
                <w:t>ICN-NT</w:t>
              </w:r>
            </w:hyperlink>
            <w:r>
              <w:rPr>
                <w:rFonts w:cstheme="minorHAnsi"/>
              </w:rPr>
              <w:t xml:space="preserve"> helps to “source competitive local suppliers” and “help[s] local suppliers access [] national and international opportunities.”</w:t>
            </w:r>
          </w:p>
        </w:tc>
      </w:tr>
      <w:tr w:rsidR="00472715" w:rsidRPr="00520C23" w14:paraId="205F978A" w14:textId="77777777" w:rsidTr="00EA3C33">
        <w:tc>
          <w:tcPr>
            <w:tcW w:w="846" w:type="dxa"/>
            <w:shd w:val="clear" w:color="auto" w:fill="auto"/>
          </w:tcPr>
          <w:p w14:paraId="57FE6847" w14:textId="0780F79E" w:rsidR="00472715" w:rsidRPr="00520C23" w:rsidRDefault="00472715" w:rsidP="00472715">
            <w:pPr>
              <w:spacing w:before="120"/>
              <w:jc w:val="center"/>
              <w:rPr>
                <w:rFonts w:cstheme="minorHAnsi"/>
              </w:rPr>
            </w:pPr>
            <w:r w:rsidRPr="00520C23">
              <w:rPr>
                <w:rFonts w:cstheme="minorHAnsi"/>
              </w:rPr>
              <w:t>13.8</w:t>
            </w:r>
          </w:p>
        </w:tc>
        <w:tc>
          <w:tcPr>
            <w:tcW w:w="4819" w:type="dxa"/>
            <w:shd w:val="clear" w:color="auto" w:fill="FFFFFF" w:themeFill="background1"/>
          </w:tcPr>
          <w:p w14:paraId="55F3493A" w14:textId="79A82B02" w:rsidR="00472715" w:rsidRPr="00520C23" w:rsidRDefault="00472715" w:rsidP="00472715">
            <w:pPr>
              <w:spacing w:before="120"/>
              <w:rPr>
                <w:rFonts w:cstheme="minorHAnsi"/>
                <w:i/>
                <w:iCs/>
              </w:rPr>
            </w:pPr>
            <w:r w:rsidRPr="00520C23">
              <w:rPr>
                <w:rFonts w:cstheme="minorHAnsi"/>
                <w:i/>
                <w:iCs/>
              </w:rPr>
              <w:t>That the Government works with gas companies, Land Councils, local Aboriginal corporations, Aboriginal communities, and businesses to identify local supply and service opportunities to keep sustainable economic benefits on country.</w:t>
            </w:r>
          </w:p>
        </w:tc>
        <w:tc>
          <w:tcPr>
            <w:tcW w:w="11430" w:type="dxa"/>
            <w:gridSpan w:val="2"/>
            <w:shd w:val="clear" w:color="auto" w:fill="FFFFFF" w:themeFill="background1"/>
          </w:tcPr>
          <w:p w14:paraId="3750ADD2" w14:textId="4386D7EC" w:rsidR="00472715" w:rsidRPr="00687204" w:rsidRDefault="00472715" w:rsidP="00472715">
            <w:pPr>
              <w:spacing w:before="120"/>
              <w:rPr>
                <w:rFonts w:cstheme="minorHAnsi"/>
              </w:rPr>
            </w:pPr>
            <w:r>
              <w:rPr>
                <w:rFonts w:cstheme="minorHAnsi"/>
              </w:rPr>
              <w:t xml:space="preserve">The NT government listed the same implementation measures as for Recommendation 13.7, in addition to the Barkly Regional Deal implementation. </w:t>
            </w:r>
          </w:p>
        </w:tc>
        <w:tc>
          <w:tcPr>
            <w:tcW w:w="5310" w:type="dxa"/>
            <w:shd w:val="clear" w:color="auto" w:fill="E2EFD9" w:themeFill="accent6" w:themeFillTint="33"/>
          </w:tcPr>
          <w:p w14:paraId="2D293193" w14:textId="27165DAA" w:rsidR="00472715" w:rsidRPr="00520C23" w:rsidRDefault="00472715" w:rsidP="00472715">
            <w:pPr>
              <w:spacing w:before="120"/>
              <w:rPr>
                <w:rFonts w:cstheme="minorHAnsi"/>
              </w:rPr>
            </w:pPr>
            <w:r>
              <w:rPr>
                <w:rFonts w:cstheme="minorHAnsi"/>
              </w:rPr>
              <w:t>This recommendation has been adequately addressed.</w:t>
            </w:r>
          </w:p>
        </w:tc>
      </w:tr>
      <w:tr w:rsidR="00472715" w:rsidRPr="00520C23" w14:paraId="2A0FED33" w14:textId="77777777" w:rsidTr="00EA3C33">
        <w:tc>
          <w:tcPr>
            <w:tcW w:w="846" w:type="dxa"/>
            <w:shd w:val="clear" w:color="auto" w:fill="auto"/>
          </w:tcPr>
          <w:p w14:paraId="0F456820" w14:textId="20140FF0" w:rsidR="00472715" w:rsidRPr="00520C23" w:rsidRDefault="00472715" w:rsidP="00472715">
            <w:pPr>
              <w:spacing w:before="120"/>
              <w:jc w:val="center"/>
              <w:rPr>
                <w:rFonts w:cstheme="minorHAnsi"/>
              </w:rPr>
            </w:pPr>
            <w:r w:rsidRPr="00520C23">
              <w:rPr>
                <w:rFonts w:cstheme="minorHAnsi"/>
              </w:rPr>
              <w:lastRenderedPageBreak/>
              <w:t>13.9</w:t>
            </w:r>
          </w:p>
        </w:tc>
        <w:tc>
          <w:tcPr>
            <w:tcW w:w="4819" w:type="dxa"/>
            <w:shd w:val="clear" w:color="auto" w:fill="FFFFFF" w:themeFill="background1"/>
          </w:tcPr>
          <w:p w14:paraId="74B83C62" w14:textId="3CB4211C" w:rsidR="00472715" w:rsidRPr="00520C23" w:rsidRDefault="00472715" w:rsidP="00472715">
            <w:pPr>
              <w:spacing w:before="120"/>
              <w:rPr>
                <w:rFonts w:cstheme="minorHAnsi"/>
                <w:i/>
                <w:iCs/>
              </w:rPr>
            </w:pPr>
            <w:r w:rsidRPr="00520C23">
              <w:rPr>
                <w:rFonts w:cstheme="minorHAnsi"/>
                <w:i/>
                <w:iCs/>
              </w:rPr>
              <w:t>That the Government assists regional businesses to obtain quality assurance certification and to partner with larger suppliers to encourage greater local supply, employment and knowledge transfer.</w:t>
            </w:r>
          </w:p>
        </w:tc>
        <w:tc>
          <w:tcPr>
            <w:tcW w:w="11430" w:type="dxa"/>
            <w:gridSpan w:val="2"/>
            <w:shd w:val="clear" w:color="auto" w:fill="FFFFFF" w:themeFill="background1"/>
          </w:tcPr>
          <w:p w14:paraId="65670E7B" w14:textId="77777777" w:rsidR="00472715" w:rsidRPr="00FF1DB1" w:rsidRDefault="00472715" w:rsidP="00472715">
            <w:pPr>
              <w:spacing w:before="120"/>
              <w:rPr>
                <w:rFonts w:cstheme="minorHAnsi"/>
              </w:rPr>
            </w:pPr>
            <w:r w:rsidRPr="00520C23">
              <w:rPr>
                <w:rFonts w:cstheme="minorHAnsi"/>
              </w:rPr>
              <w:t xml:space="preserve">In addition to the local benefit reporting and government initiatives described in the implementation progress for Recommendation 12.14, the NT government added: </w:t>
            </w:r>
          </w:p>
          <w:p w14:paraId="3DA36052" w14:textId="77777777" w:rsidR="00472715" w:rsidRDefault="00472715" w:rsidP="00472715">
            <w:pPr>
              <w:spacing w:before="120"/>
              <w:rPr>
                <w:rFonts w:cstheme="minorHAnsi"/>
                <w:i/>
                <w:iCs/>
              </w:rPr>
            </w:pPr>
            <w:r w:rsidRPr="00A60340">
              <w:rPr>
                <w:rFonts w:cstheme="minorHAnsi"/>
                <w:i/>
                <w:iCs/>
              </w:rPr>
              <w:t>Business Growth Programs business support offerings include assistance to businesses to prepare for Quality Assurance certification.</w:t>
            </w:r>
          </w:p>
          <w:p w14:paraId="3FB30940" w14:textId="77777777" w:rsidR="00472715" w:rsidRDefault="00472715" w:rsidP="00472715">
            <w:pPr>
              <w:spacing w:before="120"/>
              <w:rPr>
                <w:rFonts w:cstheme="minorHAnsi"/>
                <w:i/>
                <w:iCs/>
                <w:lang w:val="en-US"/>
              </w:rPr>
            </w:pPr>
            <w:r>
              <w:rPr>
                <w:rFonts w:cstheme="minorHAnsi"/>
                <w:i/>
                <w:iCs/>
              </w:rPr>
              <w:t>…</w:t>
            </w:r>
          </w:p>
          <w:p w14:paraId="52769F76" w14:textId="77777777" w:rsidR="00472715" w:rsidRPr="00FF1DB1" w:rsidRDefault="00472715" w:rsidP="00472715">
            <w:pPr>
              <w:spacing w:before="120"/>
              <w:rPr>
                <w:rFonts w:cstheme="minorHAnsi"/>
                <w:i/>
                <w:iCs/>
                <w:lang w:val="en-US"/>
              </w:rPr>
            </w:pPr>
            <w:r w:rsidRPr="00FF1DB1">
              <w:rPr>
                <w:rFonts w:cstheme="minorHAnsi"/>
                <w:i/>
                <w:iCs/>
                <w:lang w:val="en-US"/>
              </w:rPr>
              <w:t>NT Government holds regular (annual) information sessions to inform local businesses of upcoming work, pre-qualification/contract requirements and the process to register interest in project opportunities.</w:t>
            </w:r>
          </w:p>
          <w:p w14:paraId="2BD04916" w14:textId="77777777" w:rsidR="00472715" w:rsidRPr="00FF1DB1" w:rsidRDefault="00472715" w:rsidP="00472715">
            <w:pPr>
              <w:spacing w:before="120"/>
              <w:rPr>
                <w:rFonts w:cstheme="minorHAnsi"/>
                <w:i/>
                <w:iCs/>
                <w:lang w:val="en-US"/>
              </w:rPr>
            </w:pPr>
            <w:r w:rsidRPr="00FF1DB1">
              <w:rPr>
                <w:rFonts w:cstheme="minorHAnsi"/>
                <w:i/>
                <w:iCs/>
                <w:lang w:val="en-US"/>
              </w:rPr>
              <w:t>NT Government released the Aboriginal Economic Participation Framework 2022-2032 and the Aboriginal Procurement Policy.</w:t>
            </w:r>
          </w:p>
          <w:p w14:paraId="709094F3" w14:textId="77777777" w:rsidR="00472715" w:rsidRPr="00FF1DB1" w:rsidRDefault="00472715" w:rsidP="00472715">
            <w:pPr>
              <w:spacing w:before="120"/>
              <w:rPr>
                <w:rFonts w:cstheme="minorHAnsi"/>
                <w:i/>
                <w:iCs/>
                <w:lang w:val="en-US"/>
              </w:rPr>
            </w:pPr>
            <w:r w:rsidRPr="00FF1DB1">
              <w:rPr>
                <w:rFonts w:cstheme="minorHAnsi"/>
                <w:i/>
                <w:iCs/>
                <w:lang w:val="en-US"/>
              </w:rPr>
              <w:t>The Northern Territory Business Hub, announced in March 2022, will be delivered by the Northern Territory Indigenous Business Network with satellite offices across the Northern Territory.</w:t>
            </w:r>
          </w:p>
          <w:p w14:paraId="75AF24D0" w14:textId="77777777" w:rsidR="00472715" w:rsidRPr="00FF1DB1" w:rsidRDefault="00472715" w:rsidP="00472715">
            <w:pPr>
              <w:spacing w:before="120"/>
              <w:rPr>
                <w:rFonts w:cstheme="minorHAnsi"/>
                <w:b/>
                <w:bCs/>
                <w:i/>
                <w:iCs/>
                <w:lang w:val="en-US"/>
              </w:rPr>
            </w:pPr>
            <w:r w:rsidRPr="00FF1DB1">
              <w:rPr>
                <w:rFonts w:cstheme="minorHAnsi"/>
                <w:i/>
                <w:iCs/>
                <w:lang w:val="en-US"/>
              </w:rPr>
              <w:t>NT Government is leading delegations of industry and business representatives to conferences such as the Australasian Oil and Gas Expo and Conference (AOG Energy) as an important opportunity to promote the Territory’s capacity</w:t>
            </w:r>
            <w:r w:rsidRPr="00FF1DB1">
              <w:rPr>
                <w:rFonts w:cstheme="minorHAnsi"/>
                <w:b/>
                <w:bCs/>
                <w:i/>
                <w:iCs/>
                <w:lang w:val="en-US"/>
              </w:rPr>
              <w:t>.</w:t>
            </w:r>
          </w:p>
          <w:p w14:paraId="7C136BFF" w14:textId="77777777" w:rsidR="00472715" w:rsidRPr="00FF1DB1" w:rsidRDefault="00472715" w:rsidP="00472715">
            <w:pPr>
              <w:spacing w:before="120"/>
              <w:rPr>
                <w:rFonts w:cstheme="minorHAnsi"/>
                <w:b/>
                <w:bCs/>
                <w:i/>
                <w:iCs/>
                <w:lang w:val="en-US"/>
              </w:rPr>
            </w:pPr>
          </w:p>
        </w:tc>
        <w:tc>
          <w:tcPr>
            <w:tcW w:w="5310" w:type="dxa"/>
            <w:shd w:val="clear" w:color="auto" w:fill="E2EFD9" w:themeFill="accent6" w:themeFillTint="33"/>
          </w:tcPr>
          <w:p w14:paraId="102301FC" w14:textId="5B242730" w:rsidR="00472715" w:rsidRPr="00520C23" w:rsidRDefault="00472715" w:rsidP="00472715">
            <w:pPr>
              <w:spacing w:before="120"/>
              <w:rPr>
                <w:rFonts w:cstheme="minorHAnsi"/>
              </w:rPr>
            </w:pPr>
            <w:r>
              <w:rPr>
                <w:rFonts w:cstheme="minorHAnsi"/>
              </w:rPr>
              <w:t>This recommendation has been adequately addressed. For example, the NT Business Hub has been described as “</w:t>
            </w:r>
            <w:r w:rsidRPr="00A338FF">
              <w:rPr>
                <w:rFonts w:cstheme="minorHAnsi"/>
              </w:rPr>
              <w:t xml:space="preserve">a </w:t>
            </w:r>
            <w:r>
              <w:rPr>
                <w:rFonts w:cstheme="minorHAnsi"/>
              </w:rPr>
              <w:t>“‘</w:t>
            </w:r>
            <w:hyperlink r:id="rId81" w:history="1">
              <w:r w:rsidRPr="008715EE">
                <w:rPr>
                  <w:rStyle w:val="Hyperlink"/>
                  <w:rFonts w:cstheme="minorHAnsi"/>
                </w:rPr>
                <w:t>one-stop shop</w:t>
              </w:r>
            </w:hyperlink>
            <w:r>
              <w:rPr>
                <w:rFonts w:cstheme="minorHAnsi"/>
              </w:rPr>
              <w:t>’</w:t>
            </w:r>
            <w:r w:rsidRPr="00A338FF">
              <w:rPr>
                <w:rFonts w:cstheme="minorHAnsi"/>
              </w:rPr>
              <w:t xml:space="preserve"> where Indigenous businesses can explore ideas, access business advice, undertake training, connect with other corporates and tap into Government programs for progressing economic development across Northern Australia.</w:t>
            </w:r>
            <w:r>
              <w:rPr>
                <w:rFonts w:cstheme="minorHAnsi"/>
              </w:rPr>
              <w:t xml:space="preserve">” </w:t>
            </w:r>
          </w:p>
        </w:tc>
      </w:tr>
      <w:tr w:rsidR="00472715" w:rsidRPr="00C361A7" w14:paraId="1DFDD0BB" w14:textId="77777777" w:rsidTr="00EA3C33">
        <w:tc>
          <w:tcPr>
            <w:tcW w:w="846" w:type="dxa"/>
            <w:shd w:val="clear" w:color="auto" w:fill="auto"/>
          </w:tcPr>
          <w:p w14:paraId="400B9066" w14:textId="15003E5F" w:rsidR="00472715" w:rsidRPr="00520C23" w:rsidRDefault="00472715" w:rsidP="00472715">
            <w:pPr>
              <w:spacing w:before="120"/>
              <w:jc w:val="center"/>
              <w:rPr>
                <w:rFonts w:cstheme="minorHAnsi"/>
              </w:rPr>
            </w:pPr>
            <w:r w:rsidRPr="00520C23">
              <w:rPr>
                <w:rFonts w:cstheme="minorHAnsi"/>
              </w:rPr>
              <w:t>13.10</w:t>
            </w:r>
          </w:p>
        </w:tc>
        <w:tc>
          <w:tcPr>
            <w:tcW w:w="4819" w:type="dxa"/>
            <w:shd w:val="clear" w:color="auto" w:fill="FFFFFF" w:themeFill="background1"/>
          </w:tcPr>
          <w:p w14:paraId="16AF6EDA" w14:textId="4565857F" w:rsidR="00472715" w:rsidRPr="00520C23" w:rsidRDefault="00472715" w:rsidP="00472715">
            <w:pPr>
              <w:spacing w:before="120"/>
              <w:rPr>
                <w:rFonts w:cstheme="minorHAnsi"/>
                <w:i/>
                <w:iCs/>
              </w:rPr>
            </w:pPr>
            <w:r w:rsidRPr="00520C23">
              <w:rPr>
                <w:rFonts w:cstheme="minorHAnsi"/>
                <w:i/>
                <w:iCs/>
              </w:rPr>
              <w:t>That the Government works with gas companies, Land Councils, local governments, local suppliers and businesses to devise and implement local procurement targets.</w:t>
            </w:r>
          </w:p>
        </w:tc>
        <w:tc>
          <w:tcPr>
            <w:tcW w:w="11430" w:type="dxa"/>
            <w:gridSpan w:val="2"/>
            <w:shd w:val="clear" w:color="auto" w:fill="FFFFFF" w:themeFill="background1"/>
          </w:tcPr>
          <w:p w14:paraId="62BF41CF" w14:textId="77777777" w:rsidR="00472715" w:rsidRPr="001239FB" w:rsidRDefault="00472715" w:rsidP="00472715">
            <w:pPr>
              <w:spacing w:before="120"/>
              <w:rPr>
                <w:rFonts w:cstheme="minorHAnsi"/>
              </w:rPr>
            </w:pPr>
            <w:r w:rsidRPr="00520C23">
              <w:rPr>
                <w:rFonts w:cstheme="minorHAnsi"/>
              </w:rPr>
              <w:t xml:space="preserve">In addition to the local benefit reporting and government initiatives described in the implementation progress for Recommendation 12.14, the NT government added: </w:t>
            </w:r>
          </w:p>
          <w:p w14:paraId="5E4C98E2" w14:textId="77777777" w:rsidR="00472715" w:rsidRPr="00453D9D" w:rsidRDefault="00472715" w:rsidP="00472715">
            <w:pPr>
              <w:spacing w:before="120"/>
              <w:rPr>
                <w:rFonts w:cstheme="minorHAnsi"/>
                <w:i/>
                <w:iCs/>
                <w:lang w:val="en-US"/>
              </w:rPr>
            </w:pPr>
            <w:r w:rsidRPr="00453D9D">
              <w:rPr>
                <w:rFonts w:cstheme="minorHAnsi"/>
                <w:i/>
                <w:iCs/>
                <w:lang w:val="en-US"/>
              </w:rPr>
              <w:t>NT Government holds regular (annual) information sessions to inform local businesses of upcoming work, pre-qualification/contract requirements and the process to register interest in project opportunities.</w:t>
            </w:r>
          </w:p>
          <w:p w14:paraId="3B920B84" w14:textId="77777777" w:rsidR="00472715" w:rsidRPr="00453D9D" w:rsidRDefault="00472715" w:rsidP="00472715">
            <w:pPr>
              <w:spacing w:before="120"/>
              <w:rPr>
                <w:rFonts w:cstheme="minorHAnsi"/>
                <w:i/>
                <w:iCs/>
                <w:lang w:val="en-US"/>
              </w:rPr>
            </w:pPr>
            <w:r w:rsidRPr="00453D9D">
              <w:rPr>
                <w:rFonts w:cstheme="minorHAnsi"/>
                <w:i/>
                <w:iCs/>
                <w:lang w:val="en-US"/>
              </w:rPr>
              <w:t>In consultation with stakeholders, NT Government to work with industry in the setting of KPI targets at agreed phases of onshore development. This will be delivered through the Onshore Supply Chain Working Group noting policies and requirements such as:</w:t>
            </w:r>
          </w:p>
          <w:p w14:paraId="6CD092A1" w14:textId="77777777" w:rsidR="00472715" w:rsidRPr="00453D9D" w:rsidRDefault="00472715" w:rsidP="00472715">
            <w:pPr>
              <w:numPr>
                <w:ilvl w:val="0"/>
                <w:numId w:val="103"/>
              </w:numPr>
              <w:spacing w:before="120"/>
              <w:rPr>
                <w:rFonts w:cstheme="minorHAnsi"/>
                <w:i/>
                <w:iCs/>
                <w:lang w:val="en-US"/>
              </w:rPr>
            </w:pPr>
            <w:r w:rsidRPr="00453D9D">
              <w:rPr>
                <w:rFonts w:cstheme="minorHAnsi"/>
                <w:i/>
                <w:iCs/>
                <w:lang w:val="en-US"/>
              </w:rPr>
              <w:t>Gas company procurement requirements across different stages of onshore development</w:t>
            </w:r>
          </w:p>
          <w:p w14:paraId="189615DD" w14:textId="77777777" w:rsidR="00472715" w:rsidRPr="00453D9D" w:rsidRDefault="00472715" w:rsidP="00472715">
            <w:pPr>
              <w:numPr>
                <w:ilvl w:val="0"/>
                <w:numId w:val="103"/>
              </w:numPr>
              <w:spacing w:before="120"/>
              <w:rPr>
                <w:rFonts w:cstheme="minorHAnsi"/>
                <w:i/>
                <w:iCs/>
                <w:lang w:val="en-US"/>
              </w:rPr>
            </w:pPr>
            <w:r w:rsidRPr="00453D9D">
              <w:rPr>
                <w:rFonts w:cstheme="minorHAnsi"/>
                <w:i/>
                <w:iCs/>
                <w:lang w:val="en-US"/>
              </w:rPr>
              <w:t>Barkly Regional Workforce Strategy</w:t>
            </w:r>
          </w:p>
          <w:p w14:paraId="50D17E00" w14:textId="77777777" w:rsidR="00472715" w:rsidRPr="00453D9D" w:rsidRDefault="00472715" w:rsidP="00472715">
            <w:pPr>
              <w:numPr>
                <w:ilvl w:val="0"/>
                <w:numId w:val="103"/>
              </w:numPr>
              <w:spacing w:before="120"/>
              <w:rPr>
                <w:rFonts w:cstheme="minorHAnsi"/>
                <w:i/>
                <w:iCs/>
                <w:lang w:val="en-US"/>
              </w:rPr>
            </w:pPr>
            <w:r w:rsidRPr="00453D9D">
              <w:rPr>
                <w:rFonts w:cstheme="minorHAnsi"/>
                <w:i/>
                <w:iCs/>
                <w:lang w:val="en-US"/>
              </w:rPr>
              <w:t>Barkly Economic Growth Strategy</w:t>
            </w:r>
          </w:p>
          <w:p w14:paraId="0FDBA11E" w14:textId="77777777" w:rsidR="00472715" w:rsidRPr="00453D9D" w:rsidRDefault="00472715" w:rsidP="00472715">
            <w:pPr>
              <w:numPr>
                <w:ilvl w:val="0"/>
                <w:numId w:val="103"/>
              </w:numPr>
              <w:spacing w:before="120"/>
              <w:rPr>
                <w:rFonts w:cstheme="minorHAnsi"/>
                <w:i/>
                <w:iCs/>
                <w:lang w:val="en-US"/>
              </w:rPr>
            </w:pPr>
            <w:r w:rsidRPr="00453D9D">
              <w:rPr>
                <w:rFonts w:cstheme="minorHAnsi"/>
                <w:i/>
                <w:iCs/>
                <w:lang w:val="en-US"/>
              </w:rPr>
              <w:t>NT Government Aboriginal Procurement Policy as part of the overarching Aboriginal Contracting Framework.</w:t>
            </w:r>
          </w:p>
          <w:p w14:paraId="77C0AA93" w14:textId="77777777" w:rsidR="00472715" w:rsidRPr="002161D2" w:rsidRDefault="00472715" w:rsidP="00472715">
            <w:pPr>
              <w:spacing w:before="120"/>
              <w:rPr>
                <w:rFonts w:cstheme="minorHAnsi"/>
                <w:i/>
                <w:iCs/>
                <w:lang w:val="en-US"/>
              </w:rPr>
            </w:pPr>
            <w:r w:rsidRPr="00453D9D">
              <w:rPr>
                <w:rFonts w:cstheme="minorHAnsi"/>
                <w:i/>
                <w:iCs/>
                <w:lang w:val="en-US"/>
              </w:rPr>
              <w:t>Identify and measure local benefit outcomes of onshore industry activities in the Territory are realised through analysis conducted on proponents' procurement data via organisations such as the Industry Capability Network Northern Territory.</w:t>
            </w:r>
          </w:p>
          <w:p w14:paraId="355CCFD3" w14:textId="77777777" w:rsidR="00472715" w:rsidRPr="002161D2" w:rsidRDefault="00472715" w:rsidP="00472715">
            <w:pPr>
              <w:spacing w:before="120"/>
              <w:rPr>
                <w:rFonts w:cstheme="minorHAnsi"/>
                <w:i/>
                <w:iCs/>
                <w:lang w:val="en-US"/>
              </w:rPr>
            </w:pPr>
            <w:r w:rsidRPr="002161D2">
              <w:rPr>
                <w:rFonts w:cstheme="minorHAnsi"/>
                <w:i/>
                <w:iCs/>
                <w:lang w:val="en-US"/>
              </w:rPr>
              <w:t>The Northern Territory Business Hub, announced in March 2022, will be delivered by the Northern Territory Indigenous Business Network with satellite offices across the Northern Territory.</w:t>
            </w:r>
          </w:p>
          <w:p w14:paraId="1C697D95" w14:textId="449DA665" w:rsidR="00472715" w:rsidRPr="00453D9D" w:rsidRDefault="00472715" w:rsidP="00472715">
            <w:pPr>
              <w:spacing w:before="120"/>
              <w:rPr>
                <w:rFonts w:cstheme="minorHAnsi"/>
                <w:lang w:val="en-US"/>
              </w:rPr>
            </w:pPr>
            <w:r w:rsidRPr="002161D2">
              <w:rPr>
                <w:rFonts w:cstheme="minorHAnsi"/>
                <w:i/>
                <w:iCs/>
                <w:lang w:val="en-US"/>
              </w:rPr>
              <w:t>NT Government released the Aboriginal Economic Participation Framework 2022-2032 and the Aboriginal Procurement Policy.</w:t>
            </w:r>
          </w:p>
        </w:tc>
        <w:tc>
          <w:tcPr>
            <w:tcW w:w="5310" w:type="dxa"/>
            <w:shd w:val="clear" w:color="auto" w:fill="FFF2CC" w:themeFill="accent4" w:themeFillTint="33"/>
          </w:tcPr>
          <w:p w14:paraId="16037720" w14:textId="0DF01579" w:rsidR="00472715" w:rsidRPr="00C361A7" w:rsidRDefault="00472715" w:rsidP="00472715">
            <w:pPr>
              <w:spacing w:before="120"/>
              <w:rPr>
                <w:rFonts w:cstheme="minorHAnsi"/>
                <w:lang w:val="en-US"/>
              </w:rPr>
            </w:pPr>
            <w:r>
              <w:rPr>
                <w:rFonts w:cstheme="minorHAnsi"/>
              </w:rPr>
              <w:t xml:space="preserve">It appears local procurement targets have not been set yet.  </w:t>
            </w:r>
            <w:r w:rsidRPr="00C361A7">
              <w:rPr>
                <w:rFonts w:cstheme="minorHAnsi"/>
                <w:lang w:val="en-US"/>
              </w:rPr>
              <w:t xml:space="preserve">The implementation progress description demonstrates </w:t>
            </w:r>
            <w:r>
              <w:rPr>
                <w:rFonts w:cstheme="minorHAnsi"/>
                <w:lang w:val="en-US"/>
              </w:rPr>
              <w:t xml:space="preserve">only </w:t>
            </w:r>
            <w:r w:rsidRPr="00C361A7">
              <w:rPr>
                <w:rFonts w:cstheme="minorHAnsi"/>
                <w:lang w:val="en-US"/>
              </w:rPr>
              <w:t>that th</w:t>
            </w:r>
            <w:r>
              <w:rPr>
                <w:rFonts w:cstheme="minorHAnsi"/>
                <w:lang w:val="en-US"/>
              </w:rPr>
              <w:t xml:space="preserve">e NT government has a plan for setting local procurement targets in consultation with relevant stakeholders, but </w:t>
            </w:r>
            <w:r w:rsidRPr="004C2F42">
              <w:rPr>
                <w:rFonts w:cstheme="minorHAnsi"/>
                <w:lang w:val="en-US"/>
              </w:rPr>
              <w:t>it is not clear what timeline the NT government will follow in setting them.</w:t>
            </w:r>
          </w:p>
        </w:tc>
      </w:tr>
      <w:tr w:rsidR="00472715" w:rsidRPr="00520C23" w14:paraId="5363FD93" w14:textId="77777777" w:rsidTr="00EA3C33">
        <w:tc>
          <w:tcPr>
            <w:tcW w:w="846" w:type="dxa"/>
            <w:shd w:val="clear" w:color="auto" w:fill="auto"/>
          </w:tcPr>
          <w:p w14:paraId="0E455962" w14:textId="3B8A183D" w:rsidR="00472715" w:rsidRPr="00520C23" w:rsidRDefault="00472715" w:rsidP="00472715">
            <w:pPr>
              <w:spacing w:before="120"/>
              <w:jc w:val="center"/>
              <w:rPr>
                <w:rFonts w:cstheme="minorHAnsi"/>
              </w:rPr>
            </w:pPr>
            <w:r w:rsidRPr="00520C23">
              <w:rPr>
                <w:rFonts w:cstheme="minorHAnsi"/>
              </w:rPr>
              <w:t>13.12</w:t>
            </w:r>
          </w:p>
        </w:tc>
        <w:tc>
          <w:tcPr>
            <w:tcW w:w="4819" w:type="dxa"/>
            <w:shd w:val="clear" w:color="auto" w:fill="FFFFFF" w:themeFill="background1"/>
          </w:tcPr>
          <w:p w14:paraId="1582CCAF" w14:textId="3BD0B759" w:rsidR="00472715" w:rsidRPr="00520C23" w:rsidRDefault="00472715" w:rsidP="00472715">
            <w:pPr>
              <w:spacing w:before="120"/>
              <w:rPr>
                <w:rFonts w:cstheme="minorHAnsi"/>
                <w:i/>
                <w:iCs/>
              </w:rPr>
            </w:pPr>
            <w:r w:rsidRPr="00520C23">
              <w:rPr>
                <w:rFonts w:cstheme="minorHAnsi"/>
                <w:i/>
                <w:iCs/>
              </w:rPr>
              <w:t>That the Government works with all levels of government, (including the Australian Government), peak organisations, communities and gas companies to identify and manage infrastructure risks, including identifying and implementing options to fund any new infrastructure or upgrade existing infrastructure.</w:t>
            </w:r>
          </w:p>
        </w:tc>
        <w:tc>
          <w:tcPr>
            <w:tcW w:w="11430" w:type="dxa"/>
            <w:gridSpan w:val="2"/>
            <w:shd w:val="clear" w:color="auto" w:fill="FFFFFF" w:themeFill="background1"/>
          </w:tcPr>
          <w:p w14:paraId="5116AD58" w14:textId="77777777" w:rsidR="00472715" w:rsidRPr="0064465E" w:rsidRDefault="00472715" w:rsidP="00472715">
            <w:pPr>
              <w:spacing w:before="120"/>
              <w:rPr>
                <w:rFonts w:cstheme="minorHAnsi"/>
                <w:lang w:val="en-US"/>
              </w:rPr>
            </w:pPr>
            <w:r w:rsidRPr="0064465E">
              <w:rPr>
                <w:rFonts w:cstheme="minorHAnsi"/>
                <w:lang w:val="en-US"/>
              </w:rPr>
              <w:t>The NT Government works with all levels of government, (including the Commonwealth Government), peak organisations, communities and gas companies to identify and manage infrastructure risks, including identifying and implementing options to fund any new infrastructure or upgrade existing infrastructure.</w:t>
            </w:r>
          </w:p>
          <w:p w14:paraId="6E04E4E7" w14:textId="77777777" w:rsidR="00472715" w:rsidRPr="0064465E" w:rsidRDefault="00472715" w:rsidP="00472715">
            <w:pPr>
              <w:numPr>
                <w:ilvl w:val="0"/>
                <w:numId w:val="100"/>
              </w:numPr>
              <w:spacing w:before="120"/>
              <w:rPr>
                <w:rFonts w:cstheme="minorHAnsi"/>
                <w:lang w:val="en-US"/>
              </w:rPr>
            </w:pPr>
            <w:r w:rsidRPr="0064465E">
              <w:rPr>
                <w:rFonts w:cstheme="minorHAnsi"/>
                <w:lang w:val="en-US"/>
              </w:rPr>
              <w:t>Infrastructure Australia approved and listed the Northern Territory’s submission for development of the Beetaloo Sub-basin as a Nationally Significant Project.</w:t>
            </w:r>
          </w:p>
          <w:p w14:paraId="4CCE6D40" w14:textId="77777777" w:rsidR="00472715" w:rsidRPr="0064465E" w:rsidRDefault="00472715" w:rsidP="00472715">
            <w:pPr>
              <w:numPr>
                <w:ilvl w:val="0"/>
                <w:numId w:val="100"/>
              </w:numPr>
              <w:spacing w:before="120"/>
              <w:rPr>
                <w:rFonts w:cstheme="minorHAnsi"/>
                <w:lang w:val="en-US"/>
              </w:rPr>
            </w:pPr>
            <w:r w:rsidRPr="0064465E">
              <w:rPr>
                <w:rFonts w:cstheme="minorHAnsi"/>
                <w:lang w:val="en-US"/>
              </w:rPr>
              <w:t>The Commonwealth and Northern Territory governments have announced joint funding of $367 million in road upgrades to the Carpentaria Highway, sections of the Stuart Highway, Buchanan Highway, Western Creek Road and Gorrie/Dry Creek Road.</w:t>
            </w:r>
          </w:p>
          <w:p w14:paraId="2642097E" w14:textId="77777777" w:rsidR="00472715" w:rsidRPr="0064465E" w:rsidRDefault="00472715" w:rsidP="00472715">
            <w:pPr>
              <w:numPr>
                <w:ilvl w:val="0"/>
                <w:numId w:val="100"/>
              </w:numPr>
              <w:spacing w:before="120"/>
              <w:rPr>
                <w:rFonts w:cstheme="minorHAnsi"/>
                <w:lang w:val="en-US"/>
              </w:rPr>
            </w:pPr>
            <w:r w:rsidRPr="0064465E">
              <w:rPr>
                <w:rFonts w:cstheme="minorHAnsi"/>
                <w:lang w:val="en-US"/>
              </w:rPr>
              <w:t>Infrastructure NT was formed in April 2021, led by the Infrastructure Commissioner, to deliver strategic infrastructure planning and development which co-ordinates and aligns infrastructure needs with industry and population growth.</w:t>
            </w:r>
          </w:p>
          <w:p w14:paraId="4E72E710" w14:textId="77777777" w:rsidR="00472715" w:rsidRPr="0064465E" w:rsidRDefault="00472715" w:rsidP="00472715">
            <w:pPr>
              <w:numPr>
                <w:ilvl w:val="0"/>
                <w:numId w:val="100"/>
              </w:numPr>
              <w:spacing w:before="120"/>
              <w:rPr>
                <w:rFonts w:cstheme="minorHAnsi"/>
                <w:lang w:val="en-US"/>
              </w:rPr>
            </w:pPr>
            <w:r w:rsidRPr="0064465E">
              <w:rPr>
                <w:rFonts w:cstheme="minorHAnsi"/>
                <w:lang w:val="en-US"/>
              </w:rPr>
              <w:lastRenderedPageBreak/>
              <w:t>The Department of Infrastructure, Planning and Logistics (DIPL)</w:t>
            </w:r>
            <w:r>
              <w:rPr>
                <w:rFonts w:cstheme="minorHAnsi"/>
                <w:lang w:val="en-US"/>
              </w:rPr>
              <w:t xml:space="preserve"> </w:t>
            </w:r>
            <w:r w:rsidRPr="0064465E">
              <w:rPr>
                <w:rFonts w:cstheme="minorHAnsi"/>
                <w:lang w:val="en-US"/>
              </w:rPr>
              <w:t>commissioned a series of studies which engaged extensively with key stakeholders and identified infrastructure risks, tested its assumptions and analysis and provided critical feedback:</w:t>
            </w:r>
          </w:p>
          <w:p w14:paraId="291724CF" w14:textId="77777777" w:rsidR="00472715" w:rsidRPr="0064465E" w:rsidRDefault="00F90BAA" w:rsidP="00472715">
            <w:pPr>
              <w:numPr>
                <w:ilvl w:val="0"/>
                <w:numId w:val="101"/>
              </w:numPr>
              <w:spacing w:before="120"/>
              <w:rPr>
                <w:rFonts w:cstheme="minorHAnsi"/>
                <w:lang w:val="en-US"/>
              </w:rPr>
            </w:pPr>
            <w:hyperlink r:id="rId82" w:history="1">
              <w:r w:rsidR="00472715" w:rsidRPr="0064465E">
                <w:rPr>
                  <w:rStyle w:val="Hyperlink"/>
                  <w:rFonts w:cstheme="minorHAnsi"/>
                  <w:lang w:val="en-US"/>
                </w:rPr>
                <w:t>Mapping future transport for improved planning and operation – GISERA (csiro.au)</w:t>
              </w:r>
            </w:hyperlink>
          </w:p>
          <w:p w14:paraId="77EBE46D" w14:textId="77777777" w:rsidR="00472715" w:rsidRPr="0064465E" w:rsidRDefault="00F90BAA" w:rsidP="00472715">
            <w:pPr>
              <w:numPr>
                <w:ilvl w:val="0"/>
                <w:numId w:val="101"/>
              </w:numPr>
              <w:spacing w:before="120"/>
              <w:rPr>
                <w:rFonts w:cstheme="minorHAnsi"/>
                <w:lang w:val="en-US"/>
              </w:rPr>
            </w:pPr>
            <w:hyperlink r:id="rId83" w:history="1">
              <w:r w:rsidR="00472715" w:rsidRPr="0064465E">
                <w:rPr>
                  <w:rStyle w:val="Hyperlink"/>
                  <w:rFonts w:cstheme="minorHAnsi"/>
                  <w:lang w:val="en-US"/>
                </w:rPr>
                <w:t>Analysis of Infrastructure and Logistics Requirements for the Development of an Onshore Oil and Gas Industry in the Northern Territory</w:t>
              </w:r>
            </w:hyperlink>
          </w:p>
          <w:p w14:paraId="2FA71186" w14:textId="77777777" w:rsidR="00472715" w:rsidRPr="0064465E" w:rsidRDefault="00472715" w:rsidP="00472715">
            <w:pPr>
              <w:numPr>
                <w:ilvl w:val="0"/>
                <w:numId w:val="102"/>
              </w:numPr>
              <w:spacing w:before="120"/>
              <w:rPr>
                <w:rFonts w:cstheme="minorHAnsi"/>
                <w:lang w:val="en-US"/>
              </w:rPr>
            </w:pPr>
            <w:r w:rsidRPr="0064465E">
              <w:rPr>
                <w:rFonts w:cstheme="minorHAnsi"/>
                <w:lang w:val="en-US"/>
              </w:rPr>
              <w:t>In late November 2021, DIPL engaged with a targeted stakeholder group of 15 organisations, including petroleum interest holders in the Beetaloo Sub-basin area and peak bodies and industry organisations in mining, gas exploration and pipeline assets. The purpose was to seek comment on the priority list of immediate to short term (0 – 5 years) road upgrade projects within the Beetaloo Sub-basin (funded under the NT Gas Industry Roads Corridor Investment Strategy), as well as longer term (Over 5 years) priorities.</w:t>
            </w:r>
          </w:p>
          <w:p w14:paraId="3758191F" w14:textId="77777777" w:rsidR="00472715" w:rsidRPr="0064465E" w:rsidRDefault="00472715" w:rsidP="00472715">
            <w:pPr>
              <w:numPr>
                <w:ilvl w:val="0"/>
                <w:numId w:val="102"/>
              </w:numPr>
              <w:spacing w:before="120"/>
              <w:rPr>
                <w:rFonts w:cstheme="minorHAnsi"/>
                <w:lang w:val="en-US"/>
              </w:rPr>
            </w:pPr>
            <w:r w:rsidRPr="0064465E">
              <w:rPr>
                <w:rFonts w:cstheme="minorHAnsi"/>
                <w:lang w:val="en-US"/>
              </w:rPr>
              <w:t>The NT Infrastructure Framework will focus on place-based planning integrated with infrastructure planning. This place-based approach enables infrastructure project planning to be informed by local decision making and regional development strategies, which can identify projects of significance to regions and communities around the Beetaloo Sub-basin.</w:t>
            </w:r>
          </w:p>
          <w:p w14:paraId="49C89320" w14:textId="77777777" w:rsidR="00472715" w:rsidRPr="0064465E" w:rsidRDefault="00472715" w:rsidP="00472715">
            <w:pPr>
              <w:numPr>
                <w:ilvl w:val="0"/>
                <w:numId w:val="102"/>
              </w:numPr>
              <w:spacing w:before="120"/>
              <w:rPr>
                <w:rFonts w:cstheme="minorHAnsi"/>
                <w:lang w:val="en-US"/>
              </w:rPr>
            </w:pPr>
            <w:r w:rsidRPr="0064465E">
              <w:rPr>
                <w:rFonts w:cstheme="minorHAnsi"/>
                <w:lang w:val="en-US"/>
              </w:rPr>
              <w:t>The Australian Government, Northern Territory Government and Barkly Regional Council are also implementing the Barkly Regional Deal a funding agreement, to deliver social and economic infrastructure projects, as well social and cultural programs for communities in close proximity to the Beetaloo Basin. The total funded amount is $78.4 million and covers items such as youth infrastructure, multi-purpose accommodation and ongoing funding for airstrips and new housing in the Barkly region.</w:t>
            </w:r>
          </w:p>
          <w:p w14:paraId="2EC11CCD" w14:textId="77777777" w:rsidR="00472715" w:rsidRPr="0064465E" w:rsidRDefault="00472715" w:rsidP="00472715">
            <w:pPr>
              <w:numPr>
                <w:ilvl w:val="0"/>
                <w:numId w:val="102"/>
              </w:numPr>
              <w:spacing w:before="120"/>
              <w:rPr>
                <w:rFonts w:cstheme="minorHAnsi"/>
                <w:lang w:val="en-US"/>
              </w:rPr>
            </w:pPr>
            <w:r w:rsidRPr="0064465E">
              <w:rPr>
                <w:rFonts w:cstheme="minorHAnsi"/>
                <w:lang w:val="en-US"/>
              </w:rPr>
              <w:t>DIPL is a member of the Big Rivers Regional Coordination Committee, which includes Northern Territory Government Agencies and Local Government Councils in the Big Rivers Region. A key function of the coordination committee is to oversee infrastructure projects and opportunities in the region.</w:t>
            </w:r>
          </w:p>
          <w:p w14:paraId="6BED9882" w14:textId="77777777" w:rsidR="00472715" w:rsidRPr="0064465E" w:rsidRDefault="00472715" w:rsidP="00472715">
            <w:pPr>
              <w:spacing w:before="120"/>
              <w:rPr>
                <w:rFonts w:cstheme="minorHAnsi"/>
                <w:lang w:val="en-US"/>
              </w:rPr>
            </w:pPr>
          </w:p>
        </w:tc>
        <w:tc>
          <w:tcPr>
            <w:tcW w:w="5310" w:type="dxa"/>
            <w:shd w:val="clear" w:color="auto" w:fill="E2EFD9" w:themeFill="accent6" w:themeFillTint="33"/>
          </w:tcPr>
          <w:p w14:paraId="15009BC1" w14:textId="417AA6B6" w:rsidR="00472715" w:rsidRPr="00520C23" w:rsidRDefault="00472715" w:rsidP="00472715">
            <w:pPr>
              <w:spacing w:before="120"/>
              <w:rPr>
                <w:rFonts w:cstheme="minorHAnsi"/>
              </w:rPr>
            </w:pPr>
            <w:r>
              <w:rPr>
                <w:rFonts w:cstheme="minorHAnsi"/>
              </w:rPr>
              <w:lastRenderedPageBreak/>
              <w:t xml:space="preserve">This recommendation has been adequately addressed, although there does not seem to be much emphasis on engaging communities on issues related to gas infrastructure. </w:t>
            </w:r>
          </w:p>
        </w:tc>
      </w:tr>
      <w:tr w:rsidR="00EA3C33" w:rsidRPr="00520C23" w14:paraId="15FC0521" w14:textId="77777777" w:rsidTr="00EA3C33">
        <w:tc>
          <w:tcPr>
            <w:tcW w:w="846" w:type="dxa"/>
            <w:shd w:val="clear" w:color="auto" w:fill="auto"/>
          </w:tcPr>
          <w:p w14:paraId="62B76D56" w14:textId="604EAFBC" w:rsidR="00472715" w:rsidRPr="00520C23" w:rsidRDefault="00472715" w:rsidP="00472715">
            <w:pPr>
              <w:spacing w:before="120"/>
              <w:jc w:val="center"/>
              <w:rPr>
                <w:rFonts w:cstheme="minorHAnsi"/>
              </w:rPr>
            </w:pPr>
            <w:r>
              <w:rPr>
                <w:rFonts w:cstheme="minorHAnsi"/>
              </w:rPr>
              <w:t>14.1</w:t>
            </w:r>
          </w:p>
        </w:tc>
        <w:tc>
          <w:tcPr>
            <w:tcW w:w="4819" w:type="dxa"/>
            <w:shd w:val="clear" w:color="auto" w:fill="FFFFFF" w:themeFill="background1"/>
          </w:tcPr>
          <w:p w14:paraId="31EA6EE2" w14:textId="63B55568" w:rsidR="00472715" w:rsidRPr="00520C23" w:rsidRDefault="00472715" w:rsidP="00472715">
            <w:pPr>
              <w:spacing w:before="120"/>
              <w:rPr>
                <w:rFonts w:cstheme="minorHAnsi"/>
                <w:i/>
                <w:iCs/>
              </w:rPr>
            </w:pPr>
            <w:r w:rsidRPr="00A064EC">
              <w:rPr>
                <w:rFonts w:cstheme="minorHAnsi"/>
                <w:i/>
                <w:iCs/>
              </w:rPr>
              <w:t>That prior to the granting of any further production approvals, the Government designs and implements a full cost recovery system for the regulation of any onshore shale gas industry.</w:t>
            </w:r>
          </w:p>
        </w:tc>
        <w:tc>
          <w:tcPr>
            <w:tcW w:w="5760" w:type="dxa"/>
            <w:shd w:val="clear" w:color="auto" w:fill="FFFFFF" w:themeFill="background1"/>
          </w:tcPr>
          <w:p w14:paraId="276FA052" w14:textId="77777777" w:rsidR="00472715" w:rsidRPr="0064465E" w:rsidRDefault="00472715" w:rsidP="00472715">
            <w:pPr>
              <w:spacing w:before="120"/>
              <w:rPr>
                <w:rFonts w:cstheme="minorHAnsi"/>
                <w:lang w:val="en-US"/>
              </w:rPr>
            </w:pPr>
            <w:r w:rsidRPr="00A064EC">
              <w:rPr>
                <w:rFonts w:cstheme="minorHAnsi"/>
              </w:rPr>
              <w:t>The Petroleum Legislation Amendment Bill 2022 was introduced in the Legislative Assembly on 12 October 2022, passed on 1 December 2022 and assented to on 16 December 2022. Refer to </w:t>
            </w:r>
            <w:hyperlink r:id="rId84" w:history="1">
              <w:r w:rsidRPr="00A064EC">
                <w:rPr>
                  <w:rStyle w:val="Hyperlink"/>
                  <w:rFonts w:cstheme="minorHAnsi"/>
                </w:rPr>
                <w:t>Special Gazette S64 PDF (182.5 KB)</w:t>
              </w:r>
            </w:hyperlink>
            <w:r w:rsidRPr="00A064EC">
              <w:rPr>
                <w:rFonts w:cstheme="minorHAnsi"/>
              </w:rPr>
              <w:t> published on 19 December 2022. New and revised cost recovery charges will be implemented when amendments to the </w:t>
            </w:r>
            <w:r w:rsidRPr="00A064EC">
              <w:rPr>
                <w:rFonts w:cstheme="minorHAnsi"/>
                <w:i/>
                <w:iCs/>
              </w:rPr>
              <w:t>Petroleum Act 1984</w:t>
            </w:r>
            <w:r w:rsidRPr="00A064EC">
              <w:rPr>
                <w:rFonts w:cstheme="minorHAnsi"/>
              </w:rPr>
              <w:t> and the </w:t>
            </w:r>
            <w:r w:rsidRPr="00A064EC">
              <w:rPr>
                <w:rFonts w:cstheme="minorHAnsi"/>
                <w:i/>
                <w:iCs/>
              </w:rPr>
              <w:t>Petroleum Regulations 2020</w:t>
            </w:r>
            <w:r w:rsidRPr="00A064EC">
              <w:rPr>
                <w:rFonts w:cstheme="minorHAnsi"/>
              </w:rPr>
              <w:t> commence in 2023.</w:t>
            </w:r>
          </w:p>
        </w:tc>
        <w:tc>
          <w:tcPr>
            <w:tcW w:w="5670" w:type="dxa"/>
            <w:shd w:val="clear" w:color="auto" w:fill="FFFFFF" w:themeFill="background1"/>
          </w:tcPr>
          <w:p w14:paraId="7C362214" w14:textId="76C96149" w:rsidR="00472715" w:rsidRPr="00152BFA" w:rsidRDefault="00472715" w:rsidP="00472715">
            <w:pPr>
              <w:spacing w:before="120"/>
              <w:rPr>
                <w:rFonts w:cstheme="minorHAnsi"/>
                <w:lang w:val="en-US"/>
              </w:rPr>
            </w:pPr>
            <w:r>
              <w:rPr>
                <w:rFonts w:cstheme="minorHAnsi"/>
                <w:b/>
                <w:bCs/>
                <w:lang w:val="en-US"/>
              </w:rPr>
              <w:t xml:space="preserve">117M </w:t>
            </w:r>
            <w:r w:rsidRPr="00152BFA">
              <w:rPr>
                <w:rFonts w:cstheme="minorHAnsi"/>
                <w:b/>
                <w:bCs/>
                <w:lang w:val="en-US"/>
              </w:rPr>
              <w:t xml:space="preserve">Cost recovery </w:t>
            </w:r>
          </w:p>
          <w:p w14:paraId="43C6514D" w14:textId="77777777" w:rsidR="00472715" w:rsidRPr="00152BFA" w:rsidRDefault="00472715" w:rsidP="00472715">
            <w:pPr>
              <w:spacing w:before="120"/>
              <w:rPr>
                <w:rFonts w:cstheme="minorHAnsi"/>
                <w:lang w:val="en-US"/>
              </w:rPr>
            </w:pPr>
            <w:r w:rsidRPr="00152BFA">
              <w:rPr>
                <w:rFonts w:cstheme="minorHAnsi"/>
                <w:lang w:val="en-US"/>
              </w:rPr>
              <w:t xml:space="preserve">(1) The CEO may recover: </w:t>
            </w:r>
          </w:p>
          <w:p w14:paraId="2A29D083" w14:textId="77777777" w:rsidR="00472715" w:rsidRPr="00152BFA" w:rsidRDefault="00472715" w:rsidP="00472715">
            <w:pPr>
              <w:spacing w:before="120"/>
              <w:ind w:left="342"/>
              <w:rPr>
                <w:rFonts w:cstheme="minorHAnsi"/>
                <w:lang w:val="en-US"/>
              </w:rPr>
            </w:pPr>
            <w:r w:rsidRPr="00152BFA">
              <w:rPr>
                <w:rFonts w:cstheme="minorHAnsi"/>
                <w:lang w:val="en-US"/>
              </w:rPr>
              <w:t xml:space="preserve">(a) from an applicant or other person mentioned in section 117L(2) the cost of the engagement by the Minister or the CEO of a person under that section to give the advice envisaged by that section; or </w:t>
            </w:r>
          </w:p>
          <w:p w14:paraId="21310DC1" w14:textId="77777777" w:rsidR="00472715" w:rsidRPr="00152BFA" w:rsidRDefault="00472715" w:rsidP="00472715">
            <w:pPr>
              <w:spacing w:before="120"/>
              <w:ind w:left="342"/>
              <w:rPr>
                <w:rFonts w:cstheme="minorHAnsi"/>
                <w:lang w:val="en-US"/>
              </w:rPr>
            </w:pPr>
            <w:r w:rsidRPr="00152BFA">
              <w:rPr>
                <w:rFonts w:cstheme="minorHAnsi"/>
                <w:lang w:val="en-US"/>
              </w:rPr>
              <w:t xml:space="preserve">(b) from an interest holder, or from a person who has applied to become an interest holder, any costs reasonably incurred by the Minister or the CEO in connection with taking any step or performing any function that directly relates to that interest holder or potential interest holder. </w:t>
            </w:r>
          </w:p>
          <w:p w14:paraId="71E9689F" w14:textId="77777777" w:rsidR="00472715" w:rsidRPr="00152BFA" w:rsidRDefault="00472715" w:rsidP="00472715">
            <w:pPr>
              <w:spacing w:before="120"/>
              <w:rPr>
                <w:rFonts w:cstheme="minorHAnsi"/>
                <w:lang w:val="en-US"/>
              </w:rPr>
            </w:pPr>
            <w:r w:rsidRPr="00152BFA">
              <w:rPr>
                <w:rFonts w:cstheme="minorHAnsi"/>
                <w:lang w:val="en-US"/>
              </w:rPr>
              <w:t xml:space="preserve">(2) An amount is not recoverable under subsection (1)(b) to the extent that it appears to the CEO that the cost of taking a step or performing a function was covered by a prescribed fee or charge prescribed by the regulations in relation to the same matter. </w:t>
            </w:r>
          </w:p>
          <w:p w14:paraId="09ACAA7F" w14:textId="225F8EDB" w:rsidR="00472715" w:rsidRPr="0064465E" w:rsidRDefault="00472715" w:rsidP="00472715">
            <w:pPr>
              <w:spacing w:before="120"/>
              <w:rPr>
                <w:rFonts w:cstheme="minorHAnsi"/>
                <w:lang w:val="en-US"/>
              </w:rPr>
            </w:pPr>
            <w:r w:rsidRPr="00152BFA">
              <w:rPr>
                <w:rFonts w:cstheme="minorHAnsi"/>
                <w:lang w:val="en-US"/>
              </w:rPr>
              <w:t>(3) The CEO may recover the costs as a debt due and payable to the Territory.</w:t>
            </w:r>
          </w:p>
        </w:tc>
        <w:tc>
          <w:tcPr>
            <w:tcW w:w="5310" w:type="dxa"/>
            <w:shd w:val="clear" w:color="auto" w:fill="E2EFD9" w:themeFill="accent6" w:themeFillTint="33"/>
          </w:tcPr>
          <w:p w14:paraId="4B9A6285" w14:textId="5443A6BD" w:rsidR="00472715" w:rsidRDefault="00472715" w:rsidP="00472715">
            <w:pPr>
              <w:spacing w:before="120"/>
              <w:rPr>
                <w:rFonts w:cstheme="minorHAnsi"/>
              </w:rPr>
            </w:pPr>
            <w:r>
              <w:rPr>
                <w:rFonts w:cstheme="minorHAnsi"/>
              </w:rPr>
              <w:t xml:space="preserve">This recommendation has likely been fully </w:t>
            </w:r>
            <w:r w:rsidR="00A75C77">
              <w:rPr>
                <w:rFonts w:cstheme="minorHAnsi"/>
              </w:rPr>
              <w:t>implemented</w:t>
            </w:r>
            <w:r>
              <w:rPr>
                <w:rFonts w:cstheme="minorHAnsi"/>
              </w:rPr>
              <w:t xml:space="preserve"> through the new Section 117M of the Petroleum Act of 1984 on cost recovery</w:t>
            </w:r>
            <w:r w:rsidR="00450BBD">
              <w:rPr>
                <w:rFonts w:cstheme="minorHAnsi"/>
              </w:rPr>
              <w:t xml:space="preserve">. </w:t>
            </w:r>
            <w:r w:rsidR="00B84332">
              <w:rPr>
                <w:rFonts w:cstheme="minorHAnsi"/>
              </w:rPr>
              <w:t>I</w:t>
            </w:r>
            <w:r w:rsidR="00450BBD">
              <w:rPr>
                <w:rFonts w:cstheme="minorHAnsi"/>
              </w:rPr>
              <w:t>t is important to note</w:t>
            </w:r>
            <w:r w:rsidR="00B84332">
              <w:rPr>
                <w:rFonts w:cstheme="minorHAnsi"/>
              </w:rPr>
              <w:t>, however,</w:t>
            </w:r>
            <w:r w:rsidR="00450BBD">
              <w:rPr>
                <w:rFonts w:cstheme="minorHAnsi"/>
              </w:rPr>
              <w:t xml:space="preserve"> that the use of “may” </w:t>
            </w:r>
            <w:r w:rsidR="00B84332">
              <w:rPr>
                <w:rFonts w:cstheme="minorHAnsi"/>
              </w:rPr>
              <w:t>gives the</w:t>
            </w:r>
            <w:r w:rsidR="00450BBD">
              <w:rPr>
                <w:rFonts w:cstheme="minorHAnsi"/>
              </w:rPr>
              <w:t xml:space="preserve"> CEO discretion to choose </w:t>
            </w:r>
            <w:r w:rsidR="00E12007">
              <w:rPr>
                <w:rFonts w:cstheme="minorHAnsi"/>
              </w:rPr>
              <w:softHyphen/>
            </w:r>
            <w:r w:rsidR="00E12007" w:rsidRPr="00E12007">
              <w:rPr>
                <w:rFonts w:cstheme="minorHAnsi"/>
                <w:u w:val="single"/>
              </w:rPr>
              <w:t>not</w:t>
            </w:r>
            <w:r w:rsidR="00450BBD">
              <w:rPr>
                <w:rFonts w:cstheme="minorHAnsi"/>
              </w:rPr>
              <w:t xml:space="preserve"> to </w:t>
            </w:r>
            <w:r w:rsidR="00B84332">
              <w:rPr>
                <w:rFonts w:cstheme="minorHAnsi"/>
              </w:rPr>
              <w:t>seek recovery</w:t>
            </w:r>
            <w:r w:rsidR="00E12007">
              <w:rPr>
                <w:rFonts w:cstheme="minorHAnsi"/>
              </w:rPr>
              <w:t xml:space="preserve"> from interest holders</w:t>
            </w:r>
            <w:r w:rsidR="00B84332">
              <w:rPr>
                <w:rFonts w:cstheme="minorHAnsi"/>
              </w:rPr>
              <w:t xml:space="preserve">. </w:t>
            </w:r>
          </w:p>
          <w:p w14:paraId="58FA7C93" w14:textId="77777777" w:rsidR="00472715" w:rsidRDefault="00472715" w:rsidP="00472715">
            <w:pPr>
              <w:spacing w:before="120"/>
              <w:rPr>
                <w:rFonts w:cstheme="minorHAnsi"/>
              </w:rPr>
            </w:pPr>
          </w:p>
          <w:p w14:paraId="40158E2C" w14:textId="3ABF53B1" w:rsidR="00472715" w:rsidRDefault="00472715" w:rsidP="00472715">
            <w:pPr>
              <w:spacing w:before="120"/>
              <w:rPr>
                <w:rFonts w:cstheme="minorHAnsi"/>
              </w:rPr>
            </w:pPr>
          </w:p>
        </w:tc>
      </w:tr>
      <w:tr w:rsidR="00EA3C33" w:rsidRPr="00520C23" w14:paraId="7B3FB8A4" w14:textId="77777777" w:rsidTr="00EA3C33">
        <w:tc>
          <w:tcPr>
            <w:tcW w:w="846" w:type="dxa"/>
            <w:shd w:val="clear" w:color="auto" w:fill="auto"/>
          </w:tcPr>
          <w:p w14:paraId="26603B19" w14:textId="0C46FD49" w:rsidR="00472715" w:rsidRPr="00520C23" w:rsidRDefault="00472715" w:rsidP="00472715">
            <w:pPr>
              <w:spacing w:before="120"/>
              <w:jc w:val="center"/>
              <w:rPr>
                <w:rFonts w:cstheme="minorHAnsi"/>
              </w:rPr>
            </w:pPr>
            <w:r w:rsidRPr="00520C23">
              <w:rPr>
                <w:rFonts w:cstheme="minorHAnsi"/>
              </w:rPr>
              <w:lastRenderedPageBreak/>
              <w:t>14.2</w:t>
            </w:r>
          </w:p>
        </w:tc>
        <w:tc>
          <w:tcPr>
            <w:tcW w:w="4819" w:type="dxa"/>
            <w:shd w:val="clear" w:color="auto" w:fill="auto"/>
          </w:tcPr>
          <w:p w14:paraId="31079261" w14:textId="77777777" w:rsidR="00472715" w:rsidRPr="00520C23" w:rsidRDefault="00472715" w:rsidP="00472715">
            <w:pPr>
              <w:spacing w:before="120"/>
              <w:rPr>
                <w:rFonts w:cstheme="minorHAnsi"/>
                <w:i/>
                <w:iCs/>
              </w:rPr>
            </w:pPr>
            <w:r w:rsidRPr="00520C23">
              <w:rPr>
                <w:rFonts w:cstheme="minorHAnsi"/>
                <w:i/>
                <w:iCs/>
              </w:rPr>
              <w:t>That the Minister must immediately notify the public of any proposed land release for any onshore shale gas exploration.</w:t>
            </w:r>
          </w:p>
          <w:p w14:paraId="0A876ECE" w14:textId="77777777" w:rsidR="00472715" w:rsidRPr="00520C23" w:rsidRDefault="00472715" w:rsidP="00472715">
            <w:pPr>
              <w:spacing w:before="120"/>
              <w:rPr>
                <w:rFonts w:cstheme="minorHAnsi"/>
                <w:i/>
                <w:iCs/>
              </w:rPr>
            </w:pPr>
            <w:r w:rsidRPr="00520C23">
              <w:rPr>
                <w:rFonts w:cstheme="minorHAnsi"/>
                <w:i/>
                <w:iCs/>
              </w:rPr>
              <w:t>That the Minister must consult with the public and stakeholders and consider any comments received in relation to any proposed land release.</w:t>
            </w:r>
          </w:p>
          <w:p w14:paraId="08B286F7" w14:textId="77777777" w:rsidR="00472715" w:rsidRPr="00520C23" w:rsidRDefault="00472715" w:rsidP="00472715">
            <w:pPr>
              <w:spacing w:before="120"/>
              <w:rPr>
                <w:rFonts w:cstheme="minorHAnsi"/>
                <w:i/>
                <w:iCs/>
              </w:rPr>
            </w:pPr>
            <w:r w:rsidRPr="00520C23">
              <w:rPr>
                <w:rFonts w:cstheme="minorHAnsi"/>
                <w:i/>
                <w:iCs/>
              </w:rPr>
              <w:t>That the Minister be required to take into account the following matters when deciding whether or not to release land for exploration:</w:t>
            </w:r>
          </w:p>
          <w:p w14:paraId="43F07910" w14:textId="77777777" w:rsidR="00472715" w:rsidRPr="00520C23" w:rsidRDefault="00472715" w:rsidP="00472715">
            <w:pPr>
              <w:numPr>
                <w:ilvl w:val="0"/>
                <w:numId w:val="38"/>
              </w:numPr>
              <w:spacing w:before="120"/>
              <w:rPr>
                <w:rFonts w:cstheme="minorHAnsi"/>
                <w:i/>
                <w:iCs/>
              </w:rPr>
            </w:pPr>
            <w:r w:rsidRPr="00520C23">
              <w:rPr>
                <w:rFonts w:cstheme="minorHAnsi"/>
                <w:i/>
                <w:iCs/>
              </w:rPr>
              <w:t>the prospectivity of the land for petroleum;</w:t>
            </w:r>
          </w:p>
          <w:p w14:paraId="7B6131A7" w14:textId="77777777" w:rsidR="00472715" w:rsidRPr="00520C23" w:rsidRDefault="00472715" w:rsidP="00472715">
            <w:pPr>
              <w:numPr>
                <w:ilvl w:val="0"/>
                <w:numId w:val="38"/>
              </w:numPr>
              <w:spacing w:before="120"/>
              <w:rPr>
                <w:rFonts w:cstheme="minorHAnsi"/>
                <w:i/>
                <w:iCs/>
              </w:rPr>
            </w:pPr>
            <w:r w:rsidRPr="00520C23">
              <w:rPr>
                <w:rFonts w:cstheme="minorHAnsi"/>
                <w:i/>
                <w:iCs/>
              </w:rPr>
              <w:t>the possibility of co-existence between the onshore gas industry and any existing or proposed industries in the area; and</w:t>
            </w:r>
          </w:p>
          <w:p w14:paraId="5ABAC183" w14:textId="77777777" w:rsidR="00472715" w:rsidRPr="00520C23" w:rsidRDefault="00472715" w:rsidP="00472715">
            <w:pPr>
              <w:numPr>
                <w:ilvl w:val="0"/>
                <w:numId w:val="38"/>
              </w:numPr>
              <w:spacing w:before="120"/>
              <w:rPr>
                <w:rFonts w:cstheme="minorHAnsi"/>
                <w:i/>
                <w:iCs/>
              </w:rPr>
            </w:pPr>
            <w:r w:rsidRPr="00520C23">
              <w:rPr>
                <w:rFonts w:cstheme="minorHAnsi"/>
                <w:i/>
                <w:iCs/>
              </w:rPr>
              <w:t>whether the land is an area of intensive agriculture, high ecological value, high scenic value, culturally significant or strategic significance.</w:t>
            </w:r>
          </w:p>
          <w:p w14:paraId="499EA385" w14:textId="77777777" w:rsidR="00472715" w:rsidRPr="00520C23" w:rsidRDefault="00472715" w:rsidP="00472715">
            <w:pPr>
              <w:spacing w:before="120"/>
              <w:rPr>
                <w:rFonts w:cstheme="minorHAnsi"/>
                <w:i/>
                <w:iCs/>
              </w:rPr>
            </w:pPr>
            <w:r w:rsidRPr="00520C23">
              <w:rPr>
                <w:rFonts w:cstheme="minorHAnsi"/>
                <w:i/>
                <w:iCs/>
              </w:rPr>
              <w:t>That the Minister publish a statement of reasons why the land has been released and why coexistence is deemed to be possible.</w:t>
            </w:r>
          </w:p>
          <w:p w14:paraId="54C7E6E0" w14:textId="77777777" w:rsidR="00472715" w:rsidRPr="00520C23" w:rsidRDefault="00472715" w:rsidP="00472715">
            <w:pPr>
              <w:spacing w:before="120"/>
              <w:rPr>
                <w:rFonts w:cstheme="minorHAnsi"/>
                <w:i/>
                <w:iCs/>
              </w:rPr>
            </w:pPr>
          </w:p>
        </w:tc>
        <w:tc>
          <w:tcPr>
            <w:tcW w:w="5760" w:type="dxa"/>
            <w:shd w:val="clear" w:color="auto" w:fill="auto"/>
          </w:tcPr>
          <w:p w14:paraId="13F11371" w14:textId="22440E2D" w:rsidR="00472715" w:rsidRPr="00520C23" w:rsidRDefault="00472715" w:rsidP="00472715">
            <w:pPr>
              <w:rPr>
                <w:rFonts w:cstheme="minorHAnsi"/>
              </w:rPr>
            </w:pPr>
            <w:r w:rsidRPr="00520C23">
              <w:rPr>
                <w:rFonts w:cstheme="minorHAnsi"/>
              </w:rPr>
              <w:t>The </w:t>
            </w:r>
            <w:r w:rsidRPr="00520C23">
              <w:rPr>
                <w:rFonts w:cstheme="minorHAnsi"/>
                <w:i/>
                <w:iCs/>
              </w:rPr>
              <w:t>Petroleum Legislation Miscellaneous Amendments Bill 2019 </w:t>
            </w:r>
            <w:r w:rsidRPr="00520C23">
              <w:rPr>
                <w:rFonts w:cstheme="minorHAnsi"/>
              </w:rPr>
              <w:t>was passed in the Legislative Assembly on 24 March 2020 and assented to on 30 March 2020. The </w:t>
            </w:r>
            <w:r w:rsidRPr="00520C23">
              <w:rPr>
                <w:rFonts w:cstheme="minorHAnsi"/>
                <w:i/>
                <w:iCs/>
              </w:rPr>
              <w:t>Petroleum Act 1984</w:t>
            </w:r>
            <w:r w:rsidRPr="00520C23">
              <w:rPr>
                <w:rFonts w:cstheme="minorHAnsi"/>
              </w:rPr>
              <w:t> was amended to require public notification of proposed land release and for submissions to be made including in relation to the possibility of co-existence. The amendments to the Act will commence in June 2020.</w:t>
            </w:r>
          </w:p>
        </w:tc>
        <w:tc>
          <w:tcPr>
            <w:tcW w:w="5670" w:type="dxa"/>
            <w:shd w:val="clear" w:color="auto" w:fill="auto"/>
          </w:tcPr>
          <w:p w14:paraId="0472A2FD" w14:textId="77777777" w:rsidR="00472715" w:rsidRPr="00520C23" w:rsidRDefault="00472715" w:rsidP="00472715">
            <w:pPr>
              <w:spacing w:before="120"/>
              <w:rPr>
                <w:rFonts w:cstheme="minorHAnsi"/>
                <w:b/>
                <w:bCs/>
                <w:i/>
                <w:iCs/>
              </w:rPr>
            </w:pPr>
            <w:r w:rsidRPr="00520C23">
              <w:rPr>
                <w:rFonts w:cstheme="minorHAnsi"/>
                <w:b/>
                <w:bCs/>
                <w:i/>
                <w:iCs/>
              </w:rPr>
              <w:t>Petroleum Act 1984 </w:t>
            </w:r>
          </w:p>
          <w:p w14:paraId="1E98B13E" w14:textId="6BDE2F8E" w:rsidR="00472715" w:rsidRPr="00520C23" w:rsidRDefault="00472715" w:rsidP="00472715">
            <w:pPr>
              <w:spacing w:before="120"/>
              <w:rPr>
                <w:rFonts w:cstheme="minorHAnsi"/>
                <w:u w:val="single"/>
              </w:rPr>
            </w:pPr>
            <w:r w:rsidRPr="00520C23">
              <w:rPr>
                <w:rFonts w:cstheme="minorHAnsi"/>
                <w:u w:val="single"/>
              </w:rPr>
              <w:t>Division 2 Exploration permits for petroleum</w:t>
            </w:r>
          </w:p>
          <w:p w14:paraId="56C04717" w14:textId="77777777" w:rsidR="001C5C3F" w:rsidRPr="001C5C3F" w:rsidRDefault="001C5C3F" w:rsidP="001C5C3F">
            <w:pPr>
              <w:spacing w:before="120"/>
              <w:rPr>
                <w:i/>
                <w:iCs/>
                <w:lang w:val="en-US"/>
              </w:rPr>
            </w:pPr>
            <w:r w:rsidRPr="001C5C3F">
              <w:rPr>
                <w:i/>
                <w:iCs/>
                <w:lang w:val="en-US"/>
              </w:rPr>
              <w:t xml:space="preserve">16 Release of blocks and application for exploration permit </w:t>
            </w:r>
          </w:p>
          <w:p w14:paraId="29741E50" w14:textId="77777777" w:rsidR="001C5C3F" w:rsidRPr="001C5C3F" w:rsidRDefault="001C5C3F" w:rsidP="001C5C3F">
            <w:pPr>
              <w:spacing w:before="120"/>
              <w:rPr>
                <w:i/>
                <w:iCs/>
                <w:lang w:val="en-US"/>
              </w:rPr>
            </w:pPr>
            <w:r w:rsidRPr="001C5C3F">
              <w:rPr>
                <w:i/>
                <w:iCs/>
                <w:lang w:val="en-US"/>
              </w:rPr>
              <w:t xml:space="preserve">(1AA) This section applies if the Minister intends to release, under section 16A, specified blocks for exploration under an exploration permit. </w:t>
            </w:r>
          </w:p>
          <w:p w14:paraId="60230116" w14:textId="66BBBE8C" w:rsidR="001C5C3F" w:rsidRDefault="001C5C3F" w:rsidP="001C5C3F">
            <w:pPr>
              <w:spacing w:before="120"/>
              <w:rPr>
                <w:i/>
                <w:iCs/>
              </w:rPr>
            </w:pPr>
            <w:r w:rsidRPr="001C5C3F">
              <w:rPr>
                <w:i/>
                <w:iCs/>
                <w:lang w:val="en-US"/>
              </w:rPr>
              <w:t>(1) The Minister must, by notice published in a newspaper circulating throughout the Territory and on the Agency's website, invite applications for the grant of an exploration permit for any of the blocks specified in the notice.</w:t>
            </w:r>
          </w:p>
          <w:p w14:paraId="44BD367C" w14:textId="333700B5" w:rsidR="00472715" w:rsidRPr="00520C23" w:rsidRDefault="00472715" w:rsidP="00472715">
            <w:pPr>
              <w:spacing w:before="120"/>
              <w:rPr>
                <w:i/>
                <w:iCs/>
              </w:rPr>
            </w:pPr>
            <w:r w:rsidRPr="00520C23">
              <w:rPr>
                <w:i/>
                <w:iCs/>
              </w:rPr>
              <w:t>(2A) A submission under subsection (2)(db) is limited to the following:</w:t>
            </w:r>
          </w:p>
          <w:p w14:paraId="2CBE5F36" w14:textId="5CBA2C9A" w:rsidR="00472715" w:rsidRPr="00520C23" w:rsidRDefault="00472715" w:rsidP="00472715">
            <w:pPr>
              <w:spacing w:before="120"/>
              <w:rPr>
                <w:i/>
                <w:iCs/>
              </w:rPr>
            </w:pPr>
            <w:r w:rsidRPr="00520C23">
              <w:rPr>
                <w:i/>
                <w:iCs/>
              </w:rPr>
              <w:t xml:space="preserve">(a) </w:t>
            </w:r>
            <w:r w:rsidRPr="00520C23">
              <w:rPr>
                <w:b/>
                <w:bCs/>
                <w:i/>
                <w:iCs/>
              </w:rPr>
              <w:t>if there are other existing or proposed industries for a specified block – whether exploration of the specified block is possible at the same time</w:t>
            </w:r>
            <w:r w:rsidRPr="00520C23">
              <w:rPr>
                <w:i/>
                <w:iCs/>
              </w:rPr>
              <w:t>;</w:t>
            </w:r>
          </w:p>
          <w:p w14:paraId="1C777A0A" w14:textId="52B1412C" w:rsidR="00472715" w:rsidRPr="00520C23" w:rsidRDefault="00472715" w:rsidP="00472715">
            <w:pPr>
              <w:spacing w:before="120"/>
              <w:rPr>
                <w:i/>
                <w:iCs/>
              </w:rPr>
            </w:pPr>
            <w:r w:rsidRPr="00520C23">
              <w:rPr>
                <w:i/>
                <w:iCs/>
              </w:rPr>
              <w:t>(b) whether the land of a specified block is suitable for exploration.</w:t>
            </w:r>
          </w:p>
          <w:p w14:paraId="2E919A3D" w14:textId="77777777" w:rsidR="00472715" w:rsidRPr="00520C23" w:rsidRDefault="00472715" w:rsidP="00472715">
            <w:pPr>
              <w:spacing w:before="120"/>
              <w:rPr>
                <w:i/>
                <w:iCs/>
              </w:rPr>
            </w:pPr>
            <w:r w:rsidRPr="00520C23">
              <w:rPr>
                <w:i/>
                <w:iCs/>
              </w:rPr>
              <w:t>Note for subsection (2A)(b)</w:t>
            </w:r>
          </w:p>
          <w:p w14:paraId="2AD06107" w14:textId="471EB6D4" w:rsidR="00472715" w:rsidRPr="00520C23" w:rsidRDefault="00472715" w:rsidP="00472715">
            <w:pPr>
              <w:spacing w:before="120"/>
              <w:rPr>
                <w:b/>
                <w:bCs/>
                <w:i/>
                <w:iCs/>
              </w:rPr>
            </w:pPr>
            <w:r w:rsidRPr="00520C23">
              <w:rPr>
                <w:b/>
                <w:bCs/>
                <w:i/>
                <w:iCs/>
              </w:rPr>
              <w:t>The submission may submit that the land is not suitable for exploration because the land is:</w:t>
            </w:r>
          </w:p>
          <w:p w14:paraId="17270E54" w14:textId="77777777" w:rsidR="00472715" w:rsidRPr="00520C23" w:rsidRDefault="00472715" w:rsidP="00472715">
            <w:pPr>
              <w:spacing w:before="120"/>
              <w:rPr>
                <w:b/>
                <w:bCs/>
                <w:i/>
                <w:iCs/>
              </w:rPr>
            </w:pPr>
            <w:r w:rsidRPr="00520C23">
              <w:rPr>
                <w:b/>
                <w:bCs/>
                <w:i/>
                <w:iCs/>
              </w:rPr>
              <w:t>(a) subject to intensive agriculture; or</w:t>
            </w:r>
          </w:p>
          <w:p w14:paraId="505D7C9D" w14:textId="77777777" w:rsidR="00472715" w:rsidRPr="00520C23" w:rsidRDefault="00472715" w:rsidP="00472715">
            <w:pPr>
              <w:spacing w:before="120"/>
              <w:rPr>
                <w:b/>
                <w:bCs/>
                <w:i/>
                <w:iCs/>
              </w:rPr>
            </w:pPr>
            <w:r w:rsidRPr="00520C23">
              <w:rPr>
                <w:b/>
                <w:bCs/>
                <w:i/>
                <w:iCs/>
              </w:rPr>
              <w:t>(b) of high ecological value; or</w:t>
            </w:r>
          </w:p>
          <w:p w14:paraId="2D82738B" w14:textId="77777777" w:rsidR="00472715" w:rsidRPr="00520C23" w:rsidRDefault="00472715" w:rsidP="00472715">
            <w:pPr>
              <w:spacing w:before="120"/>
              <w:rPr>
                <w:b/>
                <w:bCs/>
                <w:i/>
                <w:iCs/>
              </w:rPr>
            </w:pPr>
            <w:r w:rsidRPr="00520C23">
              <w:rPr>
                <w:b/>
                <w:bCs/>
                <w:i/>
                <w:iCs/>
              </w:rPr>
              <w:t>(c) of high scenic value; or</w:t>
            </w:r>
          </w:p>
          <w:p w14:paraId="0097738B" w14:textId="77777777" w:rsidR="00472715" w:rsidRPr="00520C23" w:rsidRDefault="00472715" w:rsidP="00472715">
            <w:pPr>
              <w:spacing w:before="120"/>
              <w:rPr>
                <w:b/>
                <w:bCs/>
                <w:i/>
                <w:iCs/>
              </w:rPr>
            </w:pPr>
            <w:r w:rsidRPr="00520C23">
              <w:rPr>
                <w:b/>
                <w:bCs/>
                <w:i/>
                <w:iCs/>
              </w:rPr>
              <w:t>(d) culturally significant; or</w:t>
            </w:r>
          </w:p>
          <w:p w14:paraId="59C67E13" w14:textId="068AB571" w:rsidR="00472715" w:rsidRPr="00520C23" w:rsidRDefault="00472715" w:rsidP="00472715">
            <w:pPr>
              <w:spacing w:before="120"/>
              <w:rPr>
                <w:b/>
                <w:bCs/>
                <w:i/>
                <w:iCs/>
              </w:rPr>
            </w:pPr>
            <w:r w:rsidRPr="00520C23">
              <w:rPr>
                <w:b/>
                <w:bCs/>
                <w:i/>
                <w:iCs/>
              </w:rPr>
              <w:t>(e) of strategic importance to nearby residential areas</w:t>
            </w:r>
          </w:p>
          <w:p w14:paraId="0AE67914" w14:textId="5378BBB9" w:rsidR="00472715" w:rsidRPr="00520C23" w:rsidRDefault="00472715" w:rsidP="00472715">
            <w:pPr>
              <w:spacing w:before="120"/>
              <w:rPr>
                <w:u w:val="single"/>
              </w:rPr>
            </w:pPr>
            <w:r w:rsidRPr="00520C23">
              <w:rPr>
                <w:u w:val="single"/>
              </w:rPr>
              <w:t>16A Determination of release of blocks</w:t>
            </w:r>
          </w:p>
          <w:p w14:paraId="46BF9875" w14:textId="77777777" w:rsidR="00472715" w:rsidRPr="00520C23" w:rsidRDefault="00472715" w:rsidP="00472715">
            <w:pPr>
              <w:spacing w:before="120"/>
              <w:rPr>
                <w:i/>
                <w:iCs/>
              </w:rPr>
            </w:pPr>
            <w:r w:rsidRPr="00520C23">
              <w:rPr>
                <w:i/>
                <w:iCs/>
              </w:rPr>
              <w:t>After the application period has ended, the Minister must:</w:t>
            </w:r>
          </w:p>
          <w:p w14:paraId="5DCC255B" w14:textId="40459F57" w:rsidR="00472715" w:rsidRPr="00520C23" w:rsidRDefault="00472715" w:rsidP="00472715">
            <w:pPr>
              <w:spacing w:before="120"/>
              <w:rPr>
                <w:i/>
                <w:iCs/>
              </w:rPr>
            </w:pPr>
            <w:r w:rsidRPr="00520C23">
              <w:rPr>
                <w:i/>
                <w:iCs/>
              </w:rPr>
              <w:t>(a) consider any applications received and any submissions received; and</w:t>
            </w:r>
          </w:p>
          <w:p w14:paraId="7BC208F2" w14:textId="084480FE" w:rsidR="00472715" w:rsidRPr="00520C23" w:rsidRDefault="00472715" w:rsidP="00472715">
            <w:pPr>
              <w:spacing w:before="120"/>
              <w:rPr>
                <w:i/>
                <w:iCs/>
              </w:rPr>
            </w:pPr>
            <w:r w:rsidRPr="00520C23">
              <w:rPr>
                <w:i/>
                <w:iCs/>
              </w:rPr>
              <w:t xml:space="preserve">(b) determine which blocks are to be released for exploration; </w:t>
            </w:r>
          </w:p>
          <w:p w14:paraId="5DDE138A" w14:textId="77777777" w:rsidR="00472715" w:rsidRPr="00520C23" w:rsidRDefault="00472715" w:rsidP="00472715">
            <w:pPr>
              <w:spacing w:before="120"/>
              <w:rPr>
                <w:i/>
                <w:iCs/>
              </w:rPr>
            </w:pPr>
            <w:r w:rsidRPr="00520C23">
              <w:rPr>
                <w:i/>
                <w:iCs/>
              </w:rPr>
              <w:t>(c) release the specified blocks for exploration; and</w:t>
            </w:r>
          </w:p>
          <w:p w14:paraId="5902F306" w14:textId="3407614B" w:rsidR="00472715" w:rsidRPr="00520C23" w:rsidRDefault="00472715" w:rsidP="00472715">
            <w:pPr>
              <w:spacing w:before="120"/>
              <w:rPr>
                <w:i/>
                <w:iCs/>
              </w:rPr>
            </w:pPr>
            <w:r w:rsidRPr="00520C23">
              <w:rPr>
                <w:i/>
                <w:iCs/>
              </w:rPr>
              <w:t xml:space="preserve">(d) publish, on the Agency's website, the decision under paragraph (c) </w:t>
            </w:r>
            <w:r w:rsidRPr="00520C23">
              <w:rPr>
                <w:b/>
                <w:bCs/>
                <w:i/>
                <w:iCs/>
              </w:rPr>
              <w:t>and the reasons why the blocks are appropriate for exploration</w:t>
            </w:r>
            <w:r w:rsidRPr="00520C23">
              <w:rPr>
                <w:i/>
                <w:iCs/>
              </w:rPr>
              <w:t>.</w:t>
            </w:r>
          </w:p>
          <w:p w14:paraId="6BB131E6" w14:textId="6448A224" w:rsidR="00472715" w:rsidRPr="00520C23" w:rsidRDefault="00472715" w:rsidP="00472715">
            <w:pPr>
              <w:spacing w:before="120"/>
              <w:rPr>
                <w:u w:val="single"/>
              </w:rPr>
            </w:pPr>
            <w:r w:rsidRPr="00520C23">
              <w:rPr>
                <w:u w:val="single"/>
              </w:rPr>
              <w:t>18 Notice of application for exploration permit</w:t>
            </w:r>
          </w:p>
          <w:p w14:paraId="53E24574" w14:textId="5D074275" w:rsidR="00472715" w:rsidRPr="00520C23" w:rsidRDefault="00472715" w:rsidP="00472715">
            <w:pPr>
              <w:spacing w:before="120"/>
              <w:rPr>
                <w:rFonts w:cstheme="minorHAnsi"/>
                <w:bCs/>
                <w:i/>
                <w:iCs/>
              </w:rPr>
            </w:pPr>
            <w:r w:rsidRPr="00520C23">
              <w:rPr>
                <w:rFonts w:cstheme="minorHAnsi"/>
                <w:bCs/>
                <w:i/>
                <w:iCs/>
              </w:rPr>
              <w:t>(1)</w:t>
            </w:r>
            <w:r w:rsidRPr="00520C23">
              <w:rPr>
                <w:rFonts w:cstheme="minorHAnsi"/>
                <w:b/>
                <w:i/>
                <w:iCs/>
              </w:rPr>
              <w:t xml:space="preserve"> The Minister must cause to be published, at the expense of the applicant, in a newspaper circulating in the part of the Territory in which the application area is situated, or in any other publication that the Minister thinks fit, a notice containing:</w:t>
            </w:r>
          </w:p>
          <w:p w14:paraId="2A8F4616" w14:textId="77777777" w:rsidR="00472715" w:rsidRPr="00520C23" w:rsidRDefault="00472715" w:rsidP="00472715">
            <w:pPr>
              <w:spacing w:before="120"/>
              <w:rPr>
                <w:rFonts w:cstheme="minorHAnsi"/>
                <w:bCs/>
                <w:i/>
                <w:iCs/>
              </w:rPr>
            </w:pPr>
            <w:r w:rsidRPr="00520C23">
              <w:rPr>
                <w:rFonts w:cstheme="minorHAnsi"/>
                <w:bCs/>
                <w:i/>
                <w:iCs/>
              </w:rPr>
              <w:lastRenderedPageBreak/>
              <w:t>(c) the name of the applicant; and</w:t>
            </w:r>
          </w:p>
          <w:p w14:paraId="4A5DBEAB" w14:textId="02B2515D" w:rsidR="00472715" w:rsidRPr="00520C23" w:rsidRDefault="00472715" w:rsidP="00472715">
            <w:pPr>
              <w:spacing w:before="120"/>
              <w:rPr>
                <w:rFonts w:cstheme="minorHAnsi"/>
                <w:bCs/>
                <w:i/>
                <w:iCs/>
              </w:rPr>
            </w:pPr>
            <w:r w:rsidRPr="00520C23">
              <w:rPr>
                <w:rFonts w:cstheme="minorHAnsi"/>
                <w:bCs/>
                <w:i/>
                <w:iCs/>
              </w:rPr>
              <w:t>(d) a description of the application area sufficient to enable it</w:t>
            </w:r>
            <w:r w:rsidR="006C7E3F">
              <w:rPr>
                <w:rFonts w:cstheme="minorHAnsi"/>
                <w:bCs/>
                <w:i/>
                <w:iCs/>
              </w:rPr>
              <w:t xml:space="preserve"> </w:t>
            </w:r>
            <w:r w:rsidRPr="00520C23">
              <w:rPr>
                <w:rFonts w:cstheme="minorHAnsi"/>
                <w:bCs/>
                <w:i/>
                <w:iCs/>
              </w:rPr>
              <w:t>reasonably to be identified or a map upon which the proposed</w:t>
            </w:r>
            <w:r w:rsidR="006C7E3F">
              <w:rPr>
                <w:rFonts w:cstheme="minorHAnsi"/>
                <w:bCs/>
                <w:i/>
                <w:iCs/>
              </w:rPr>
              <w:t xml:space="preserve"> </w:t>
            </w:r>
            <w:r w:rsidRPr="00520C23">
              <w:rPr>
                <w:rFonts w:cstheme="minorHAnsi"/>
                <w:bCs/>
                <w:i/>
                <w:iCs/>
              </w:rPr>
              <w:t>boundaries of the application area are indicated by reference</w:t>
            </w:r>
            <w:r w:rsidR="006C7E3F">
              <w:rPr>
                <w:rFonts w:cstheme="minorHAnsi"/>
                <w:bCs/>
                <w:i/>
                <w:iCs/>
              </w:rPr>
              <w:t xml:space="preserve"> </w:t>
            </w:r>
            <w:r w:rsidRPr="00520C23">
              <w:rPr>
                <w:rFonts w:cstheme="minorHAnsi"/>
                <w:bCs/>
                <w:i/>
                <w:iCs/>
              </w:rPr>
              <w:t>to named geographical features; and</w:t>
            </w:r>
          </w:p>
          <w:p w14:paraId="6D30FA3D" w14:textId="4ED602EB" w:rsidR="00472715" w:rsidRPr="006B29C3" w:rsidRDefault="006B29C3" w:rsidP="006B29C3">
            <w:pPr>
              <w:spacing w:before="120"/>
              <w:rPr>
                <w:rFonts w:cstheme="minorHAnsi"/>
                <w:bCs/>
                <w:i/>
                <w:iCs/>
              </w:rPr>
            </w:pPr>
            <w:r>
              <w:rPr>
                <w:rFonts w:cstheme="minorHAnsi"/>
                <w:bCs/>
                <w:i/>
                <w:iCs/>
              </w:rPr>
              <w:t xml:space="preserve">(e) </w:t>
            </w:r>
            <w:r w:rsidR="00472715" w:rsidRPr="006B29C3">
              <w:rPr>
                <w:rFonts w:cstheme="minorHAnsi"/>
                <w:bCs/>
                <w:i/>
                <w:iCs/>
              </w:rPr>
              <w:t>a statement to the effect that a person may, within 2 months after the notice is published in the newspaper or other publication, lodge in writing with the Minister an objection to the grant.</w:t>
            </w:r>
          </w:p>
          <w:p w14:paraId="0E10CB3A" w14:textId="77777777" w:rsidR="00472715" w:rsidRPr="00520C23" w:rsidRDefault="00472715" w:rsidP="00472715">
            <w:pPr>
              <w:spacing w:before="120"/>
              <w:rPr>
                <w:rFonts w:cstheme="minorHAnsi"/>
                <w:bCs/>
                <w:u w:val="single"/>
              </w:rPr>
            </w:pPr>
            <w:r w:rsidRPr="00520C23">
              <w:rPr>
                <w:rFonts w:cstheme="minorHAnsi"/>
                <w:bCs/>
                <w:u w:val="single"/>
              </w:rPr>
              <w:t>20 Determination of application for exploration permit</w:t>
            </w:r>
          </w:p>
          <w:p w14:paraId="03E1CE24" w14:textId="61B056D4" w:rsidR="00472715" w:rsidRPr="0062532C" w:rsidRDefault="00472715" w:rsidP="00472715">
            <w:pPr>
              <w:spacing w:before="120"/>
              <w:rPr>
                <w:rFonts w:cstheme="minorHAnsi"/>
                <w:b/>
                <w:i/>
                <w:iCs/>
              </w:rPr>
            </w:pPr>
            <w:r w:rsidRPr="00520C23">
              <w:rPr>
                <w:rFonts w:cstheme="minorHAnsi"/>
                <w:bCs/>
                <w:i/>
                <w:iCs/>
              </w:rPr>
              <w:t xml:space="preserve">(2) After the date specified in the notice given under section 19(2), </w:t>
            </w:r>
            <w:r w:rsidRPr="0062532C">
              <w:rPr>
                <w:rFonts w:cstheme="minorHAnsi"/>
                <w:b/>
                <w:i/>
                <w:iCs/>
              </w:rPr>
              <w:t>the Minister must consider the following:</w:t>
            </w:r>
          </w:p>
          <w:p w14:paraId="08ADE6C4" w14:textId="77777777" w:rsidR="00472715" w:rsidRPr="00520C23" w:rsidRDefault="00472715" w:rsidP="00472715">
            <w:pPr>
              <w:spacing w:before="120"/>
              <w:rPr>
                <w:rFonts w:cstheme="minorHAnsi"/>
                <w:bCs/>
                <w:i/>
                <w:iCs/>
              </w:rPr>
            </w:pPr>
            <w:r w:rsidRPr="00520C23">
              <w:rPr>
                <w:rFonts w:cstheme="minorHAnsi"/>
                <w:bCs/>
                <w:i/>
                <w:iCs/>
              </w:rPr>
              <w:t>(a) the application;</w:t>
            </w:r>
          </w:p>
          <w:p w14:paraId="127A9CB6" w14:textId="77777777" w:rsidR="00472715" w:rsidRPr="00520C23" w:rsidRDefault="00472715" w:rsidP="00472715">
            <w:pPr>
              <w:spacing w:before="120"/>
              <w:rPr>
                <w:rFonts w:cstheme="minorHAnsi"/>
                <w:bCs/>
                <w:i/>
                <w:iCs/>
              </w:rPr>
            </w:pPr>
            <w:r w:rsidRPr="00520C23">
              <w:rPr>
                <w:rFonts w:cstheme="minorHAnsi"/>
                <w:bCs/>
                <w:i/>
                <w:iCs/>
              </w:rPr>
              <w:t xml:space="preserve">(b) </w:t>
            </w:r>
            <w:r w:rsidRPr="00520C23">
              <w:rPr>
                <w:rFonts w:cstheme="minorHAnsi"/>
                <w:b/>
                <w:i/>
                <w:iCs/>
              </w:rPr>
              <w:t>any objections to the grant of the exploration permit;</w:t>
            </w:r>
          </w:p>
          <w:p w14:paraId="04DAABBE" w14:textId="77777777" w:rsidR="00472715" w:rsidRPr="00520C23" w:rsidRDefault="00472715" w:rsidP="00472715">
            <w:pPr>
              <w:spacing w:before="120"/>
              <w:rPr>
                <w:rFonts w:cstheme="minorHAnsi"/>
                <w:bCs/>
                <w:i/>
                <w:iCs/>
              </w:rPr>
            </w:pPr>
            <w:r w:rsidRPr="00520C23">
              <w:rPr>
                <w:rFonts w:cstheme="minorHAnsi"/>
                <w:bCs/>
                <w:i/>
                <w:iCs/>
              </w:rPr>
              <w:t>(c) any replies or other comments of the applicant;</w:t>
            </w:r>
          </w:p>
          <w:p w14:paraId="68B7B440" w14:textId="7E8C2BF5" w:rsidR="00472715" w:rsidRPr="00520C23" w:rsidRDefault="00472715" w:rsidP="00472715">
            <w:pPr>
              <w:spacing w:before="120"/>
              <w:rPr>
                <w:rFonts w:cstheme="minorHAnsi"/>
                <w:bCs/>
                <w:i/>
                <w:iCs/>
              </w:rPr>
            </w:pPr>
            <w:r w:rsidRPr="00520C23">
              <w:rPr>
                <w:rFonts w:cstheme="minorHAnsi"/>
                <w:bCs/>
                <w:i/>
                <w:iCs/>
              </w:rPr>
              <w:t>(d) any other information supplied to the Minister as requested</w:t>
            </w:r>
            <w:r w:rsidR="00471108">
              <w:rPr>
                <w:rFonts w:cstheme="minorHAnsi"/>
                <w:bCs/>
                <w:i/>
                <w:iCs/>
              </w:rPr>
              <w:t xml:space="preserve"> </w:t>
            </w:r>
            <w:r w:rsidRPr="00520C23">
              <w:rPr>
                <w:rFonts w:cstheme="minorHAnsi"/>
                <w:bCs/>
                <w:i/>
                <w:iCs/>
              </w:rPr>
              <w:t>under section 16(5)(a);</w:t>
            </w:r>
          </w:p>
          <w:p w14:paraId="22839764" w14:textId="2A7CD2A7" w:rsidR="00472715" w:rsidRPr="00471108" w:rsidRDefault="00472715" w:rsidP="00472715">
            <w:pPr>
              <w:spacing w:before="120"/>
              <w:rPr>
                <w:rFonts w:cstheme="minorHAnsi"/>
                <w:bCs/>
                <w:i/>
                <w:iCs/>
              </w:rPr>
            </w:pPr>
            <w:r w:rsidRPr="00520C23">
              <w:rPr>
                <w:rFonts w:cstheme="minorHAnsi"/>
                <w:bCs/>
                <w:i/>
                <w:iCs/>
              </w:rPr>
              <w:t>(e) any other matter the Minister considers relevant to the</w:t>
            </w:r>
            <w:r w:rsidR="00471108">
              <w:rPr>
                <w:rFonts w:cstheme="minorHAnsi"/>
                <w:bCs/>
                <w:i/>
                <w:iCs/>
              </w:rPr>
              <w:t xml:space="preserve"> </w:t>
            </w:r>
            <w:r w:rsidRPr="00520C23">
              <w:rPr>
                <w:rFonts w:cstheme="minorHAnsi"/>
                <w:bCs/>
                <w:i/>
                <w:iCs/>
              </w:rPr>
              <w:t>application.</w:t>
            </w:r>
          </w:p>
        </w:tc>
        <w:tc>
          <w:tcPr>
            <w:tcW w:w="5310" w:type="dxa"/>
            <w:shd w:val="clear" w:color="auto" w:fill="E2EFD9" w:themeFill="accent6" w:themeFillTint="33"/>
          </w:tcPr>
          <w:p w14:paraId="1BD51210" w14:textId="3CD441B6" w:rsidR="00472715" w:rsidRPr="00520C23" w:rsidRDefault="00472715" w:rsidP="00472715">
            <w:pPr>
              <w:spacing w:before="120"/>
              <w:rPr>
                <w:rFonts w:cstheme="minorHAnsi"/>
              </w:rPr>
            </w:pPr>
            <w:r w:rsidRPr="00520C23">
              <w:rPr>
                <w:rFonts w:cstheme="minorHAnsi"/>
              </w:rPr>
              <w:lastRenderedPageBreak/>
              <w:t xml:space="preserve">The </w:t>
            </w:r>
            <w:r w:rsidRPr="00520C23">
              <w:rPr>
                <w:rFonts w:cstheme="minorHAnsi"/>
                <w:i/>
                <w:iCs/>
              </w:rPr>
              <w:t xml:space="preserve">Petroleum Act 1984 </w:t>
            </w:r>
            <w:r w:rsidRPr="00520C23">
              <w:rPr>
                <w:rFonts w:cstheme="minorHAnsi"/>
              </w:rPr>
              <w:t>largely addresses recommendation 14.2.</w:t>
            </w:r>
          </w:p>
          <w:p w14:paraId="23364936" w14:textId="7C6F1C23" w:rsidR="00472715" w:rsidRPr="00520C23" w:rsidRDefault="00472715" w:rsidP="00472715">
            <w:pPr>
              <w:spacing w:before="120"/>
              <w:rPr>
                <w:rFonts w:cstheme="minorHAnsi"/>
                <w:i/>
                <w:iCs/>
                <w:u w:val="single"/>
              </w:rPr>
            </w:pPr>
            <w:r w:rsidRPr="00520C23">
              <w:rPr>
                <w:rFonts w:cstheme="minorHAnsi"/>
                <w:i/>
                <w:iCs/>
                <w:u w:val="single"/>
              </w:rPr>
              <w:t>Comments</w:t>
            </w:r>
          </w:p>
          <w:p w14:paraId="2D5399CA" w14:textId="66515ACC" w:rsidR="00472715" w:rsidRPr="00520C23" w:rsidRDefault="00472715" w:rsidP="00472715">
            <w:pPr>
              <w:pStyle w:val="ListParagraph"/>
              <w:numPr>
                <w:ilvl w:val="0"/>
                <w:numId w:val="82"/>
              </w:numPr>
              <w:spacing w:before="120"/>
              <w:rPr>
                <w:rFonts w:cstheme="minorHAnsi"/>
              </w:rPr>
            </w:pPr>
            <w:r w:rsidRPr="00520C23">
              <w:rPr>
                <w:rFonts w:cstheme="minorHAnsi"/>
              </w:rPr>
              <w:t xml:space="preserve">The Petroleum Act requires that the Minister publish a statement of reasons for why the blocks are appropriate for exploration. The Act does not, however, require “a statement of reasons for why the land has been released and </w:t>
            </w:r>
            <w:r w:rsidRPr="00520C23">
              <w:rPr>
                <w:rFonts w:cstheme="minorHAnsi"/>
                <w:i/>
                <w:iCs/>
              </w:rPr>
              <w:t>why coexistence is deemed to be possible”</w:t>
            </w:r>
            <w:r w:rsidRPr="00520C23">
              <w:rPr>
                <w:rFonts w:cstheme="minorHAnsi"/>
              </w:rPr>
              <w:t>.</w:t>
            </w:r>
          </w:p>
        </w:tc>
      </w:tr>
      <w:tr w:rsidR="00EA3C33" w:rsidRPr="00520C23" w14:paraId="6982F22A" w14:textId="77777777" w:rsidTr="00EA3C33">
        <w:tc>
          <w:tcPr>
            <w:tcW w:w="846" w:type="dxa"/>
            <w:shd w:val="clear" w:color="auto" w:fill="auto"/>
          </w:tcPr>
          <w:p w14:paraId="569B58BF" w14:textId="08486A14" w:rsidR="00472715" w:rsidRPr="00520C23" w:rsidRDefault="00472715" w:rsidP="00472715">
            <w:pPr>
              <w:spacing w:before="120"/>
              <w:jc w:val="center"/>
              <w:rPr>
                <w:rFonts w:cstheme="minorHAnsi"/>
              </w:rPr>
            </w:pPr>
            <w:r w:rsidRPr="00520C23">
              <w:rPr>
                <w:rFonts w:cstheme="minorHAnsi"/>
              </w:rPr>
              <w:t>14.3</w:t>
            </w:r>
          </w:p>
        </w:tc>
        <w:tc>
          <w:tcPr>
            <w:tcW w:w="4819" w:type="dxa"/>
            <w:shd w:val="clear" w:color="auto" w:fill="auto"/>
          </w:tcPr>
          <w:p w14:paraId="20A88A41" w14:textId="2EC341C6" w:rsidR="00472715" w:rsidRPr="00520C23" w:rsidRDefault="00472715" w:rsidP="00472715">
            <w:pPr>
              <w:spacing w:before="120"/>
              <w:rPr>
                <w:rFonts w:cstheme="minorHAnsi"/>
                <w:i/>
                <w:iCs/>
              </w:rPr>
            </w:pPr>
            <w:r w:rsidRPr="00520C23">
              <w:rPr>
                <w:rFonts w:cstheme="minorHAnsi"/>
                <w:i/>
                <w:iCs/>
              </w:rPr>
              <w:t>That Government not approve any application for an exploration permit in relation to areas that are not prospective for onshore shale gas or where co-existence is not possible. Priority must be given to the areas identified in Recommendation 14.4.</w:t>
            </w:r>
          </w:p>
        </w:tc>
        <w:tc>
          <w:tcPr>
            <w:tcW w:w="5760" w:type="dxa"/>
            <w:shd w:val="clear" w:color="auto" w:fill="auto"/>
          </w:tcPr>
          <w:p w14:paraId="7CCCA48B" w14:textId="3A1363FC" w:rsidR="00472715" w:rsidRPr="00520C23" w:rsidRDefault="00472715" w:rsidP="00472715">
            <w:pPr>
              <w:rPr>
                <w:rFonts w:cstheme="minorHAnsi"/>
              </w:rPr>
            </w:pPr>
            <w:r w:rsidRPr="00520C23">
              <w:rPr>
                <w:rFonts w:cstheme="minorHAnsi"/>
              </w:rPr>
              <w:t>The government’s </w:t>
            </w:r>
            <w:hyperlink r:id="rId85" w:history="1">
              <w:r w:rsidRPr="00520C23">
                <w:rPr>
                  <w:rStyle w:val="Hyperlink"/>
                  <w:rFonts w:cstheme="minorHAnsi"/>
                </w:rPr>
                <w:t>Reserved Block Policy</w:t>
              </w:r>
            </w:hyperlink>
            <w:r w:rsidRPr="00520C23">
              <w:rPr>
                <w:rFonts w:cstheme="minorHAnsi"/>
              </w:rPr>
              <w:t>, finalised in July 2019, determines areas of no petroleum potential and details exploration permits will not be granted over such areas.</w:t>
            </w:r>
          </w:p>
        </w:tc>
        <w:tc>
          <w:tcPr>
            <w:tcW w:w="5670" w:type="dxa"/>
            <w:shd w:val="clear" w:color="auto" w:fill="auto"/>
          </w:tcPr>
          <w:p w14:paraId="613CF6B6" w14:textId="37A0528C" w:rsidR="00472715" w:rsidRPr="00520C23" w:rsidRDefault="00472715" w:rsidP="00472715">
            <w:pPr>
              <w:spacing w:before="120"/>
              <w:rPr>
                <w:rFonts w:cstheme="minorHAnsi"/>
              </w:rPr>
            </w:pPr>
            <w:r w:rsidRPr="00520C23">
              <w:rPr>
                <w:rFonts w:cstheme="minorHAnsi"/>
              </w:rPr>
              <w:t xml:space="preserve">The Reserved Block Policy identifies seven categories of reserved blocks: 1) parks and reserves, 2) towns and residential areas, 3) high conservation value, 4) Indigenous Protected Areas (IPAs), 5) areas of cultural significance, 6) high tourism value, and 7) no petroleum potential. </w:t>
            </w:r>
          </w:p>
          <w:p w14:paraId="68C6DB3B" w14:textId="39E6A726" w:rsidR="00472715" w:rsidRPr="00520C23" w:rsidRDefault="00472715" w:rsidP="00472715">
            <w:pPr>
              <w:spacing w:before="120"/>
              <w:rPr>
                <w:rFonts w:cstheme="minorHAnsi"/>
              </w:rPr>
            </w:pPr>
            <w:r w:rsidRPr="00520C23">
              <w:rPr>
                <w:rFonts w:cstheme="minorHAnsi"/>
              </w:rPr>
              <w:t xml:space="preserve">The Policy then provides for a staged declaration process that will take place in four tranches: 1) immediate declaration, 2) declare after notice to park board, 3) declare after negotiation, and 4) consult with relevant land council. </w:t>
            </w:r>
          </w:p>
          <w:p w14:paraId="0C77E96D" w14:textId="70A14374" w:rsidR="00472715" w:rsidRPr="00520C23" w:rsidRDefault="00472715" w:rsidP="00472715">
            <w:pPr>
              <w:pStyle w:val="ListParagraph"/>
              <w:numPr>
                <w:ilvl w:val="0"/>
                <w:numId w:val="62"/>
              </w:numPr>
              <w:spacing w:before="120"/>
              <w:rPr>
                <w:rFonts w:cstheme="minorHAnsi"/>
                <w:i/>
                <w:iCs/>
              </w:rPr>
            </w:pPr>
            <w:r w:rsidRPr="00520C23">
              <w:rPr>
                <w:rFonts w:cstheme="minorHAnsi"/>
              </w:rPr>
              <w:t>“</w:t>
            </w:r>
            <w:r w:rsidRPr="00520C23">
              <w:rPr>
                <w:rFonts w:cstheme="minorHAnsi"/>
                <w:i/>
                <w:iCs/>
              </w:rPr>
              <w:t xml:space="preserve">The areas in Tranche 1 are from Categories 1, 2, 3 and 7. They do not overlap any granted EPs and, except for Tjuwaliyn (Douglas) Hot Springs Nature Park, are not on ALRA land. Stage 1 areas will be declared in the near future. </w:t>
            </w:r>
          </w:p>
          <w:p w14:paraId="317007E6" w14:textId="6F5D1264" w:rsidR="00472715" w:rsidRPr="00520C23" w:rsidRDefault="00472715" w:rsidP="00472715">
            <w:pPr>
              <w:pStyle w:val="ListParagraph"/>
              <w:numPr>
                <w:ilvl w:val="0"/>
                <w:numId w:val="62"/>
              </w:numPr>
              <w:spacing w:before="120"/>
              <w:rPr>
                <w:rFonts w:cstheme="minorHAnsi"/>
                <w:i/>
                <w:iCs/>
              </w:rPr>
            </w:pPr>
            <w:r w:rsidRPr="00520C23">
              <w:rPr>
                <w:rFonts w:cstheme="minorHAnsi"/>
                <w:i/>
                <w:iCs/>
              </w:rPr>
              <w:t xml:space="preserve">Tranche 2 comprises jointly managed parks and reserves on and off ALRA land. These parks and reserves will be declared as soon as the relevant Board of Management for the park or reserve has been notified of the proposed declaration. </w:t>
            </w:r>
          </w:p>
          <w:p w14:paraId="3FE606B3" w14:textId="2B3CD8C4" w:rsidR="00472715" w:rsidRPr="00520C23" w:rsidRDefault="00472715" w:rsidP="00472715">
            <w:pPr>
              <w:pStyle w:val="ListParagraph"/>
              <w:numPr>
                <w:ilvl w:val="0"/>
                <w:numId w:val="62"/>
              </w:numPr>
              <w:spacing w:before="120"/>
              <w:rPr>
                <w:rFonts w:cstheme="minorHAnsi"/>
                <w:i/>
                <w:iCs/>
              </w:rPr>
            </w:pPr>
            <w:r w:rsidRPr="00520C23">
              <w:rPr>
                <w:rFonts w:cstheme="minorHAnsi"/>
                <w:i/>
                <w:iCs/>
              </w:rPr>
              <w:t xml:space="preserve">Tranche 3 comprises areas that overlap granted exploration permits. Government will negotiate with the relevant petroleum companies regarding the relinquishment of these areas and declare reserved blocks accordingly. </w:t>
            </w:r>
          </w:p>
          <w:p w14:paraId="24E9D9C4" w14:textId="22FF369B" w:rsidR="00472715" w:rsidRPr="00520C23" w:rsidRDefault="00472715" w:rsidP="00472715">
            <w:pPr>
              <w:pStyle w:val="ListParagraph"/>
              <w:numPr>
                <w:ilvl w:val="0"/>
                <w:numId w:val="62"/>
              </w:numPr>
              <w:spacing w:before="120"/>
              <w:rPr>
                <w:rFonts w:cstheme="minorHAnsi"/>
              </w:rPr>
            </w:pPr>
            <w:r w:rsidRPr="00520C23">
              <w:rPr>
                <w:rFonts w:cstheme="minorHAnsi"/>
                <w:i/>
                <w:iCs/>
              </w:rPr>
              <w:t xml:space="preserve">Tranche 4 will occur when the Land Councils advise the Minister for Resources that either: (a) they support the declaration of proposed reserved blocks </w:t>
            </w:r>
            <w:r w:rsidRPr="00520C23">
              <w:rPr>
                <w:rFonts w:cstheme="minorHAnsi"/>
                <w:i/>
                <w:iCs/>
              </w:rPr>
              <w:lastRenderedPageBreak/>
              <w:t>on ALRA land; or (b) they have not consented to the grant of an EP under s42(1) of the ALRA. The areas to be granted in Tranche 4 comprise approximately 60% of the total area to be declared</w:t>
            </w:r>
            <w:r w:rsidRPr="00520C23">
              <w:rPr>
                <w:rFonts w:cstheme="minorHAnsi"/>
              </w:rPr>
              <w:t>.”</w:t>
            </w:r>
          </w:p>
          <w:p w14:paraId="51D16CE5" w14:textId="77777777" w:rsidR="00472715" w:rsidRPr="00520C23" w:rsidRDefault="00472715" w:rsidP="00472715">
            <w:pPr>
              <w:spacing w:before="120"/>
              <w:rPr>
                <w:rFonts w:cstheme="minorHAnsi"/>
                <w:b/>
                <w:i/>
                <w:iCs/>
              </w:rPr>
            </w:pPr>
          </w:p>
        </w:tc>
        <w:tc>
          <w:tcPr>
            <w:tcW w:w="5310" w:type="dxa"/>
            <w:shd w:val="clear" w:color="auto" w:fill="E2EFD9" w:themeFill="accent6" w:themeFillTint="33"/>
          </w:tcPr>
          <w:p w14:paraId="630EAC65" w14:textId="51D58537" w:rsidR="00472715" w:rsidRPr="00520C23" w:rsidRDefault="00472715" w:rsidP="00472715">
            <w:pPr>
              <w:spacing w:before="120"/>
              <w:rPr>
                <w:rFonts w:cstheme="minorHAnsi"/>
              </w:rPr>
            </w:pPr>
            <w:r w:rsidRPr="00520C23">
              <w:rPr>
                <w:rFonts w:cstheme="minorHAnsi"/>
              </w:rPr>
              <w:lastRenderedPageBreak/>
              <w:t>The Reserved Block Policy adequately addresses recommendation 14.3.</w:t>
            </w:r>
          </w:p>
          <w:p w14:paraId="6A4B6588" w14:textId="514D7DED" w:rsidR="00472715" w:rsidRPr="00520C23" w:rsidRDefault="00472715" w:rsidP="00472715">
            <w:pPr>
              <w:spacing w:before="120"/>
              <w:rPr>
                <w:rFonts w:cstheme="minorHAnsi"/>
              </w:rPr>
            </w:pPr>
          </w:p>
        </w:tc>
      </w:tr>
      <w:tr w:rsidR="00EA3C33" w:rsidRPr="00520C23" w14:paraId="36774D8D" w14:textId="1FF20191" w:rsidTr="00EA3C33">
        <w:tc>
          <w:tcPr>
            <w:tcW w:w="846" w:type="dxa"/>
            <w:shd w:val="clear" w:color="auto" w:fill="auto"/>
          </w:tcPr>
          <w:p w14:paraId="3B608135" w14:textId="77777777" w:rsidR="00472715" w:rsidRPr="00520C23" w:rsidRDefault="00472715" w:rsidP="00472715">
            <w:pPr>
              <w:spacing w:before="120"/>
              <w:jc w:val="center"/>
              <w:rPr>
                <w:rFonts w:cstheme="minorHAnsi"/>
              </w:rPr>
            </w:pPr>
            <w:r w:rsidRPr="00520C23">
              <w:rPr>
                <w:rFonts w:cstheme="minorHAnsi"/>
              </w:rPr>
              <w:t>14.4</w:t>
            </w:r>
          </w:p>
        </w:tc>
        <w:tc>
          <w:tcPr>
            <w:tcW w:w="4819" w:type="dxa"/>
            <w:shd w:val="clear" w:color="auto" w:fill="auto"/>
          </w:tcPr>
          <w:p w14:paraId="7B2AB2C4" w14:textId="3D401A93" w:rsidR="00472715" w:rsidRPr="00520C23" w:rsidRDefault="00472715" w:rsidP="00472715">
            <w:pPr>
              <w:spacing w:before="120"/>
              <w:rPr>
                <w:rFonts w:cstheme="minorHAnsi"/>
                <w:i/>
                <w:iCs/>
              </w:rPr>
            </w:pPr>
            <w:r w:rsidRPr="00520C23">
              <w:rPr>
                <w:rFonts w:cstheme="minorHAnsi"/>
                <w:i/>
                <w:iCs/>
              </w:rPr>
              <w:t xml:space="preserve">That </w:t>
            </w:r>
            <w:r w:rsidRPr="00520C23">
              <w:rPr>
                <w:rFonts w:cstheme="minorHAnsi"/>
                <w:b/>
                <w:bCs/>
                <w:i/>
                <w:iCs/>
              </w:rPr>
              <w:t>prior to the grant of any further exploration approvals, the following areas must be declared reserved blocks</w:t>
            </w:r>
            <w:r w:rsidRPr="00520C23">
              <w:rPr>
                <w:rFonts w:cstheme="minorHAnsi"/>
                <w:i/>
                <w:iCs/>
              </w:rPr>
              <w:t xml:space="preserve"> under s 9 of the Petroleum Act, </w:t>
            </w:r>
            <w:r w:rsidRPr="00520C23">
              <w:rPr>
                <w:rFonts w:cstheme="minorHAnsi"/>
                <w:b/>
                <w:bCs/>
                <w:i/>
                <w:iCs/>
              </w:rPr>
              <w:t>each with an appropriate buffer zone</w:t>
            </w:r>
            <w:r w:rsidRPr="00520C23">
              <w:rPr>
                <w:rFonts w:cstheme="minorHAnsi"/>
                <w:i/>
                <w:iCs/>
              </w:rPr>
              <w:t xml:space="preserve">: </w:t>
            </w:r>
          </w:p>
          <w:p w14:paraId="67717DC1" w14:textId="77777777" w:rsidR="00472715" w:rsidRPr="00520C23" w:rsidRDefault="00472715" w:rsidP="00472715">
            <w:pPr>
              <w:spacing w:before="120"/>
              <w:rPr>
                <w:rFonts w:cstheme="minorHAnsi"/>
                <w:i/>
                <w:iCs/>
              </w:rPr>
            </w:pPr>
            <w:r w:rsidRPr="00520C23">
              <w:rPr>
                <w:rFonts w:cstheme="minorHAnsi"/>
                <w:i/>
                <w:iCs/>
              </w:rPr>
              <w:t>• areas of high tourism value;</w:t>
            </w:r>
            <w:r w:rsidRPr="00520C23">
              <w:rPr>
                <w:rFonts w:cstheme="minorHAnsi"/>
                <w:i/>
                <w:iCs/>
              </w:rPr>
              <w:tab/>
            </w:r>
          </w:p>
          <w:p w14:paraId="07F24FC6" w14:textId="77777777" w:rsidR="00472715" w:rsidRPr="00520C23" w:rsidRDefault="00472715" w:rsidP="00472715">
            <w:pPr>
              <w:spacing w:before="120"/>
              <w:rPr>
                <w:rFonts w:cstheme="minorHAnsi"/>
                <w:i/>
                <w:iCs/>
              </w:rPr>
            </w:pPr>
            <w:r w:rsidRPr="00520C23">
              <w:rPr>
                <w:rFonts w:cstheme="minorHAnsi"/>
                <w:i/>
                <w:iCs/>
              </w:rPr>
              <w:t xml:space="preserve">• towns and residential areas (including areas that have assets of strategic importance to nearby residential areas); </w:t>
            </w:r>
          </w:p>
          <w:p w14:paraId="75EB1FAA" w14:textId="77777777" w:rsidR="00472715" w:rsidRPr="00520C23" w:rsidRDefault="00472715" w:rsidP="00472715">
            <w:pPr>
              <w:spacing w:before="120"/>
              <w:rPr>
                <w:rFonts w:cstheme="minorHAnsi"/>
                <w:i/>
                <w:iCs/>
              </w:rPr>
            </w:pPr>
            <w:r w:rsidRPr="00520C23">
              <w:rPr>
                <w:rFonts w:cstheme="minorHAnsi"/>
                <w:i/>
                <w:iCs/>
              </w:rPr>
              <w:t xml:space="preserve">• national parks; </w:t>
            </w:r>
          </w:p>
          <w:p w14:paraId="582ABA90" w14:textId="77777777" w:rsidR="00472715" w:rsidRPr="00520C23" w:rsidRDefault="00472715" w:rsidP="00472715">
            <w:pPr>
              <w:spacing w:before="120"/>
              <w:rPr>
                <w:rFonts w:cstheme="minorHAnsi"/>
                <w:i/>
                <w:iCs/>
              </w:rPr>
            </w:pPr>
            <w:r w:rsidRPr="00520C23">
              <w:rPr>
                <w:rFonts w:cstheme="minorHAnsi"/>
                <w:i/>
                <w:iCs/>
              </w:rPr>
              <w:t xml:space="preserve">• conservation reserves; </w:t>
            </w:r>
          </w:p>
          <w:p w14:paraId="7A43FF40" w14:textId="77777777" w:rsidR="00472715" w:rsidRPr="00520C23" w:rsidRDefault="00472715" w:rsidP="00472715">
            <w:pPr>
              <w:spacing w:before="120"/>
              <w:rPr>
                <w:rFonts w:cstheme="minorHAnsi"/>
                <w:i/>
                <w:iCs/>
              </w:rPr>
            </w:pPr>
            <w:r w:rsidRPr="00520C23">
              <w:rPr>
                <w:rFonts w:cstheme="minorHAnsi"/>
                <w:i/>
                <w:iCs/>
              </w:rPr>
              <w:t>• areas of high ecological value;</w:t>
            </w:r>
            <w:r w:rsidRPr="00520C23">
              <w:rPr>
                <w:rFonts w:cstheme="minorHAnsi"/>
                <w:i/>
                <w:iCs/>
              </w:rPr>
              <w:tab/>
            </w:r>
          </w:p>
          <w:p w14:paraId="1DA42B65" w14:textId="77777777" w:rsidR="00472715" w:rsidRPr="00520C23" w:rsidRDefault="00472715" w:rsidP="00472715">
            <w:pPr>
              <w:spacing w:before="120"/>
              <w:rPr>
                <w:rFonts w:cstheme="minorHAnsi"/>
                <w:i/>
                <w:iCs/>
              </w:rPr>
            </w:pPr>
            <w:r w:rsidRPr="00520C23">
              <w:rPr>
                <w:rFonts w:cstheme="minorHAnsi"/>
                <w:i/>
                <w:iCs/>
              </w:rPr>
              <w:t xml:space="preserve">• areas of cultural significance; and </w:t>
            </w:r>
          </w:p>
          <w:p w14:paraId="6C9BF79E" w14:textId="02A61451" w:rsidR="00472715" w:rsidRPr="00520C23" w:rsidRDefault="00472715" w:rsidP="00472715">
            <w:pPr>
              <w:spacing w:before="120"/>
              <w:rPr>
                <w:rFonts w:cstheme="minorHAnsi"/>
                <w:i/>
                <w:iCs/>
              </w:rPr>
            </w:pPr>
            <w:r w:rsidRPr="00520C23">
              <w:rPr>
                <w:rFonts w:cstheme="minorHAnsi"/>
                <w:i/>
                <w:iCs/>
              </w:rPr>
              <w:t>• Indigenous Protected Areas.</w:t>
            </w:r>
          </w:p>
        </w:tc>
        <w:tc>
          <w:tcPr>
            <w:tcW w:w="5760" w:type="dxa"/>
            <w:shd w:val="clear" w:color="auto" w:fill="auto"/>
          </w:tcPr>
          <w:p w14:paraId="70BC59C4" w14:textId="4D21E6E6" w:rsidR="00472715" w:rsidRPr="00520C23" w:rsidRDefault="00472715" w:rsidP="00472715">
            <w:pPr>
              <w:spacing w:before="120"/>
            </w:pPr>
            <w:r w:rsidRPr="00520C23">
              <w:rPr>
                <w:rFonts w:ascii="Calibri" w:eastAsia="Calibri" w:hAnsi="Calibri" w:cs="Calibri"/>
                <w:color w:val="313131"/>
              </w:rPr>
              <w:t>The government’s Reserved Block Policy was finalised in July 2019 in accordance with the Inquiry’s recommendation, following community consultation.</w:t>
            </w:r>
          </w:p>
          <w:p w14:paraId="6167163E" w14:textId="3D335F20" w:rsidR="00472715" w:rsidRPr="00520C23" w:rsidRDefault="00472715" w:rsidP="00472715">
            <w:pPr>
              <w:spacing w:before="120"/>
              <w:rPr>
                <w:rFonts w:ascii="Calibri" w:eastAsia="Calibri" w:hAnsi="Calibri" w:cs="Calibri"/>
                <w:color w:val="313131"/>
              </w:rPr>
            </w:pPr>
          </w:p>
          <w:p w14:paraId="61B9BEE4" w14:textId="2CCE5762" w:rsidR="00472715" w:rsidRPr="00040956" w:rsidRDefault="00472715" w:rsidP="00472715">
            <w:pPr>
              <w:spacing w:before="120"/>
            </w:pPr>
            <w:r w:rsidRPr="00520C23">
              <w:rPr>
                <w:rFonts w:ascii="Calibri" w:eastAsia="Calibri" w:hAnsi="Calibri" w:cs="Calibri"/>
                <w:color w:val="313131"/>
              </w:rPr>
              <w:t xml:space="preserve">There will be a staged approach to declaring reserved blocks under s9 of the Petroleum Act. Areas to be declared a reserved block and maps of the areas can be found </w:t>
            </w:r>
            <w:hyperlink r:id="rId86">
              <w:r w:rsidRPr="00520C23">
                <w:rPr>
                  <w:rStyle w:val="Hyperlink"/>
                  <w:rFonts w:ascii="Calibri" w:eastAsia="Calibri" w:hAnsi="Calibri" w:cs="Calibri"/>
                </w:rPr>
                <w:t>here</w:t>
              </w:r>
            </w:hyperlink>
            <w:r w:rsidR="00040956" w:rsidRPr="00040956">
              <w:rPr>
                <w:rStyle w:val="Hyperlink"/>
                <w:rFonts w:ascii="Calibri" w:eastAsia="Calibri" w:hAnsi="Calibri" w:cs="Calibri"/>
                <w:color w:val="auto"/>
                <w:u w:val="none"/>
              </w:rPr>
              <w:t>.</w:t>
            </w:r>
          </w:p>
          <w:p w14:paraId="5EFDC751" w14:textId="50291B14" w:rsidR="00472715" w:rsidRPr="00520C23" w:rsidRDefault="00472715" w:rsidP="00472715">
            <w:pPr>
              <w:spacing w:before="120"/>
            </w:pPr>
          </w:p>
        </w:tc>
        <w:tc>
          <w:tcPr>
            <w:tcW w:w="5670" w:type="dxa"/>
            <w:shd w:val="clear" w:color="auto" w:fill="auto"/>
          </w:tcPr>
          <w:p w14:paraId="51D3759E" w14:textId="04C821AF" w:rsidR="00472715" w:rsidRPr="00520C23" w:rsidRDefault="00472715" w:rsidP="00472715">
            <w:pPr>
              <w:spacing w:before="120"/>
              <w:rPr>
                <w:rFonts w:cstheme="minorHAnsi"/>
              </w:rPr>
            </w:pPr>
            <w:r w:rsidRPr="00520C23">
              <w:rPr>
                <w:rFonts w:cstheme="minorHAnsi"/>
              </w:rPr>
              <w:t xml:space="preserve">The NT government has published a </w:t>
            </w:r>
            <w:r w:rsidRPr="00520C23">
              <w:rPr>
                <w:rFonts w:cstheme="minorHAnsi"/>
                <w:b/>
              </w:rPr>
              <w:t>Reserved Blocks Policy</w:t>
            </w:r>
            <w:r w:rsidRPr="00520C23">
              <w:rPr>
                <w:rFonts w:cstheme="minorHAnsi"/>
              </w:rPr>
              <w:t xml:space="preserve"> to implement this recommendation (see </w:t>
            </w:r>
            <w:hyperlink r:id="rId87" w:history="1">
              <w:r w:rsidRPr="00520C23">
                <w:rPr>
                  <w:rStyle w:val="Hyperlink"/>
                  <w:rFonts w:cstheme="minorHAnsi"/>
                </w:rPr>
                <w:t>here</w:t>
              </w:r>
            </w:hyperlink>
            <w:r w:rsidRPr="00520C23">
              <w:rPr>
                <w:rFonts w:cstheme="minorHAnsi"/>
              </w:rPr>
              <w:t xml:space="preserve"> and </w:t>
            </w:r>
            <w:hyperlink r:id="rId88" w:history="1">
              <w:r w:rsidRPr="00520C23">
                <w:rPr>
                  <w:rStyle w:val="Hyperlink"/>
                  <w:rFonts w:cstheme="minorHAnsi"/>
                </w:rPr>
                <w:t>here</w:t>
              </w:r>
            </w:hyperlink>
            <w:r w:rsidRPr="00520C23">
              <w:rPr>
                <w:rFonts w:cstheme="minorHAnsi"/>
              </w:rPr>
              <w:t>).</w:t>
            </w:r>
          </w:p>
          <w:p w14:paraId="26360760" w14:textId="1D61BE9A" w:rsidR="00472715" w:rsidRPr="00520C23" w:rsidRDefault="00472715" w:rsidP="00472715">
            <w:pPr>
              <w:spacing w:before="120"/>
              <w:rPr>
                <w:rFonts w:cstheme="minorHAnsi"/>
              </w:rPr>
            </w:pPr>
            <w:r w:rsidRPr="00520C23">
              <w:rPr>
                <w:rFonts w:cstheme="minorHAnsi"/>
              </w:rPr>
              <w:t xml:space="preserve">The Policy identifies (largely through maps) the proposed reserved blocks. It contains some description of the data sets used to underpin the maps. </w:t>
            </w:r>
          </w:p>
          <w:p w14:paraId="5AF8F86D" w14:textId="77777777" w:rsidR="00472715" w:rsidRPr="00520C23" w:rsidRDefault="00472715" w:rsidP="00472715">
            <w:pPr>
              <w:spacing w:before="120"/>
              <w:rPr>
                <w:rFonts w:cstheme="minorHAnsi"/>
              </w:rPr>
            </w:pPr>
            <w:r w:rsidRPr="00520C23">
              <w:rPr>
                <w:rFonts w:cstheme="minorHAnsi"/>
              </w:rPr>
              <w:t>The Policy sets out a proposal for four tranches of declarations (</w:t>
            </w:r>
            <w:r w:rsidRPr="00520C23">
              <w:rPr>
                <w:rFonts w:cstheme="minorHAnsi"/>
                <w:i/>
              </w:rPr>
              <w:t>i.e.,</w:t>
            </w:r>
            <w:r w:rsidRPr="00520C23">
              <w:rPr>
                <w:rFonts w:cstheme="minorHAnsi"/>
              </w:rPr>
              <w:t xml:space="preserve"> identifies the order of declarations). The tranches are based on whether consultation or negotiation will be required prior to the declaration of reserved block. </w:t>
            </w:r>
          </w:p>
          <w:p w14:paraId="67ADAEBC" w14:textId="679E1D6D" w:rsidR="009371F2" w:rsidRPr="00F90BAA" w:rsidRDefault="009371F2" w:rsidP="009371F2">
            <w:pPr>
              <w:spacing w:before="120"/>
              <w:rPr>
                <w:b/>
                <w:bCs/>
              </w:rPr>
            </w:pPr>
            <w:r w:rsidRPr="00F90BAA">
              <w:rPr>
                <w:b/>
                <w:bCs/>
              </w:rPr>
              <w:t>SREBA</w:t>
            </w:r>
          </w:p>
          <w:p w14:paraId="2721DF57" w14:textId="0A18C9E7" w:rsidR="009371F2" w:rsidRDefault="009371F2" w:rsidP="00F90BAA">
            <w:pPr>
              <w:spacing w:before="120"/>
            </w:pPr>
            <w:r w:rsidRPr="427EBC34">
              <w:t xml:space="preserve">The SREBA recommends </w:t>
            </w:r>
            <w:r w:rsidR="00350411">
              <w:t>“</w:t>
            </w:r>
            <w:r w:rsidRPr="427EBC34">
              <w:t>extending the boundaries of existing Reserved Blocks to capture the full extent of the two identified areas of outstanding environmental value: Lake Woods/Longreach Waterhole, and the Roper Discharge Zone</w:t>
            </w:r>
            <w:r w:rsidR="001B2A5D">
              <w:t>”</w:t>
            </w:r>
            <w:r w:rsidR="001D2F8D">
              <w:t xml:space="preserve"> </w:t>
            </w:r>
            <w:r w:rsidR="006E2B1A">
              <w:t>(</w:t>
            </w:r>
            <w:r w:rsidR="00A03762">
              <w:t>Beetaloo SREBA Regional Report, p. 24</w:t>
            </w:r>
            <w:r w:rsidR="006E2B1A">
              <w:t>)</w:t>
            </w:r>
            <w:r w:rsidR="00A03762">
              <w:t>.</w:t>
            </w:r>
          </w:p>
          <w:p w14:paraId="5981D5BC" w14:textId="3403D964" w:rsidR="009371F2" w:rsidRDefault="009371F2" w:rsidP="00F90BAA">
            <w:pPr>
              <w:spacing w:before="120"/>
            </w:pPr>
            <w:r w:rsidRPr="427EBC34">
              <w:t xml:space="preserve">The SREBA recommends an </w:t>
            </w:r>
            <w:r w:rsidR="008E7D12">
              <w:t>“</w:t>
            </w:r>
            <w:r w:rsidRPr="427EBC34">
              <w:t>amendment of the Code of Practice to exclude some activities associated with onshore gas development in the vicinity of identified areas of high environmental value, and where there is a shallow depth to groundwater within unconfined aquifers</w:t>
            </w:r>
            <w:r w:rsidR="001565C3">
              <w:t>”</w:t>
            </w:r>
            <w:r w:rsidRPr="427EBC34">
              <w:t xml:space="preserve"> </w:t>
            </w:r>
            <w:r w:rsidR="00496FF6">
              <w:t>(</w:t>
            </w:r>
            <w:r w:rsidR="001565C3">
              <w:t>Beetaloo SREBA Regional Report, p. 24</w:t>
            </w:r>
            <w:r w:rsidR="00496FF6">
              <w:t>)</w:t>
            </w:r>
            <w:r w:rsidR="001565C3">
              <w:t xml:space="preserve">. </w:t>
            </w:r>
            <w:r w:rsidRPr="427EBC34">
              <w:t>A default buffer of 1 km is recommended for these high value water-related places or ecosystems</w:t>
            </w:r>
            <w:r w:rsidR="00496FF6">
              <w:t xml:space="preserve"> (Beetaloo SREBA Regional Report, </w:t>
            </w:r>
            <w:r w:rsidR="00350411">
              <w:t xml:space="preserve">p. </w:t>
            </w:r>
            <w:r w:rsidR="00887A33">
              <w:t>277</w:t>
            </w:r>
            <w:r w:rsidR="00496FF6">
              <w:t>)</w:t>
            </w:r>
            <w:r w:rsidR="00887A33">
              <w:t>.</w:t>
            </w:r>
          </w:p>
          <w:p w14:paraId="62BC11C9" w14:textId="575302BA" w:rsidR="00472715" w:rsidRPr="00520C23" w:rsidRDefault="00472715" w:rsidP="00472715">
            <w:pPr>
              <w:spacing w:before="120"/>
              <w:rPr>
                <w:rFonts w:cstheme="minorHAnsi"/>
              </w:rPr>
            </w:pPr>
          </w:p>
        </w:tc>
        <w:tc>
          <w:tcPr>
            <w:tcW w:w="5310" w:type="dxa"/>
            <w:shd w:val="clear" w:color="auto" w:fill="FED6D6"/>
          </w:tcPr>
          <w:p w14:paraId="3EEBB5FE" w14:textId="211B66B0" w:rsidR="00472715" w:rsidRPr="00520C23" w:rsidRDefault="00472715" w:rsidP="00472715">
            <w:pPr>
              <w:spacing w:before="120"/>
              <w:rPr>
                <w:rFonts w:cstheme="minorHAnsi"/>
              </w:rPr>
            </w:pPr>
            <w:r w:rsidRPr="00520C23">
              <w:rPr>
                <w:rFonts w:cstheme="minorHAnsi"/>
              </w:rPr>
              <w:t>The Reserved Blocks Policy does not adequately address recommendation 14.4.</w:t>
            </w:r>
          </w:p>
          <w:p w14:paraId="333F2589" w14:textId="1CBF96F9" w:rsidR="00472715" w:rsidRPr="00520C23" w:rsidRDefault="00472715" w:rsidP="00472715">
            <w:pPr>
              <w:spacing w:before="120"/>
              <w:rPr>
                <w:rFonts w:cstheme="minorHAnsi"/>
                <w:i/>
                <w:iCs/>
                <w:u w:val="single"/>
              </w:rPr>
            </w:pPr>
            <w:r w:rsidRPr="00520C23">
              <w:rPr>
                <w:rFonts w:cstheme="minorHAnsi"/>
                <w:i/>
                <w:iCs/>
                <w:u w:val="single"/>
              </w:rPr>
              <w:t>Comments</w:t>
            </w:r>
          </w:p>
          <w:p w14:paraId="3E82356E" w14:textId="4D9D73C8" w:rsidR="00472715" w:rsidRPr="00520C23" w:rsidRDefault="00472715" w:rsidP="00472715">
            <w:pPr>
              <w:pStyle w:val="ListParagraph"/>
              <w:numPr>
                <w:ilvl w:val="0"/>
                <w:numId w:val="2"/>
              </w:numPr>
              <w:spacing w:before="120"/>
              <w:rPr>
                <w:rFonts w:cstheme="minorHAnsi"/>
              </w:rPr>
            </w:pPr>
            <w:r w:rsidRPr="00520C23">
              <w:rPr>
                <w:rFonts w:cstheme="minorHAnsi"/>
              </w:rPr>
              <w:t>There are no clear criteria for each reserved block category identified by the Inquiry.</w:t>
            </w:r>
          </w:p>
          <w:p w14:paraId="45FB7880" w14:textId="4F6939EE" w:rsidR="00472715" w:rsidRPr="00520C23" w:rsidRDefault="00472715" w:rsidP="00472715">
            <w:pPr>
              <w:pStyle w:val="ListParagraph"/>
              <w:numPr>
                <w:ilvl w:val="0"/>
                <w:numId w:val="2"/>
              </w:numPr>
              <w:spacing w:before="120"/>
              <w:rPr>
                <w:rFonts w:cstheme="minorHAnsi"/>
              </w:rPr>
            </w:pPr>
            <w:r w:rsidRPr="00520C23">
              <w:rPr>
                <w:rFonts w:cstheme="minorHAnsi"/>
              </w:rPr>
              <w:t xml:space="preserve">There is limited and/or inadequate data or evidence supporting the majority of the categories. </w:t>
            </w:r>
          </w:p>
          <w:p w14:paraId="188582B5" w14:textId="405081A5" w:rsidR="00472715" w:rsidRPr="00520C23" w:rsidRDefault="00472715" w:rsidP="00472715">
            <w:pPr>
              <w:pStyle w:val="ListParagraph"/>
              <w:numPr>
                <w:ilvl w:val="0"/>
                <w:numId w:val="2"/>
              </w:numPr>
              <w:spacing w:before="120"/>
              <w:rPr>
                <w:rFonts w:cstheme="minorHAnsi"/>
              </w:rPr>
            </w:pPr>
            <w:r w:rsidRPr="00520C23">
              <w:rPr>
                <w:rFonts w:cstheme="minorHAnsi"/>
              </w:rPr>
              <w:t>The Policy effectively ignores some categories altogether, based on the false assumption that existing legislative protections are sufficient (</w:t>
            </w:r>
            <w:r w:rsidRPr="00520C23">
              <w:rPr>
                <w:rFonts w:cstheme="minorHAnsi"/>
                <w:i/>
              </w:rPr>
              <w:t>e.g.,</w:t>
            </w:r>
            <w:r w:rsidRPr="00520C23">
              <w:rPr>
                <w:rFonts w:cstheme="minorHAnsi"/>
              </w:rPr>
              <w:t xml:space="preserve"> areas of cultural significance).</w:t>
            </w:r>
          </w:p>
          <w:p w14:paraId="3E5C8879" w14:textId="3BD2193F" w:rsidR="00472715" w:rsidRPr="00520C23" w:rsidRDefault="00C35EE5" w:rsidP="00472715">
            <w:pPr>
              <w:pStyle w:val="ListParagraph"/>
              <w:numPr>
                <w:ilvl w:val="0"/>
                <w:numId w:val="2"/>
              </w:numPr>
              <w:spacing w:before="120"/>
              <w:rPr>
                <w:rFonts w:cstheme="minorHAnsi"/>
              </w:rPr>
            </w:pPr>
            <w:r>
              <w:rPr>
                <w:rFonts w:cstheme="minorHAnsi"/>
              </w:rPr>
              <w:t>B</w:t>
            </w:r>
            <w:r w:rsidR="00472715" w:rsidRPr="00520C23">
              <w:rPr>
                <w:rFonts w:cstheme="minorHAnsi"/>
              </w:rPr>
              <w:t>uffer zones</w:t>
            </w:r>
            <w:r>
              <w:rPr>
                <w:rFonts w:cstheme="minorHAnsi"/>
              </w:rPr>
              <w:t xml:space="preserve"> are not</w:t>
            </w:r>
            <w:r w:rsidR="00472715" w:rsidRPr="00520C23">
              <w:rPr>
                <w:rFonts w:cstheme="minorHAnsi"/>
              </w:rPr>
              <w:t xml:space="preserve"> identified for</w:t>
            </w:r>
            <w:r>
              <w:rPr>
                <w:rFonts w:cstheme="minorHAnsi"/>
              </w:rPr>
              <w:t xml:space="preserve"> all</w:t>
            </w:r>
            <w:r w:rsidR="00472715" w:rsidRPr="00520C23">
              <w:rPr>
                <w:rFonts w:cstheme="minorHAnsi"/>
              </w:rPr>
              <w:t xml:space="preserve"> proposed reserved blocks.</w:t>
            </w:r>
          </w:p>
          <w:p w14:paraId="2F0C46E1" w14:textId="764AED22" w:rsidR="007E0223" w:rsidRPr="00520C23" w:rsidRDefault="00472715" w:rsidP="00472715">
            <w:pPr>
              <w:pStyle w:val="ListParagraph"/>
              <w:numPr>
                <w:ilvl w:val="0"/>
                <w:numId w:val="2"/>
              </w:numPr>
              <w:spacing w:before="120"/>
              <w:rPr>
                <w:rFonts w:cstheme="minorHAnsi"/>
              </w:rPr>
            </w:pPr>
            <w:r w:rsidRPr="00520C23">
              <w:rPr>
                <w:rFonts w:cstheme="minorHAnsi"/>
              </w:rPr>
              <w:t xml:space="preserve">There is no clear process to enable the ongoing identification of no-go zones based on new or improved data (especially </w:t>
            </w:r>
            <w:r w:rsidR="00163571">
              <w:rPr>
                <w:rFonts w:cstheme="minorHAnsi"/>
              </w:rPr>
              <w:t xml:space="preserve">to account for </w:t>
            </w:r>
            <w:r w:rsidRPr="00520C23">
              <w:rPr>
                <w:rFonts w:cstheme="minorHAnsi"/>
              </w:rPr>
              <w:t xml:space="preserve">the </w:t>
            </w:r>
            <w:r w:rsidR="00163571">
              <w:rPr>
                <w:rFonts w:cstheme="minorHAnsi"/>
              </w:rPr>
              <w:t xml:space="preserve">recommendations in the </w:t>
            </w:r>
            <w:r w:rsidRPr="00520C23">
              <w:rPr>
                <w:rFonts w:cstheme="minorHAnsi"/>
              </w:rPr>
              <w:t>SREBA</w:t>
            </w:r>
            <w:r w:rsidR="001B2A5D">
              <w:rPr>
                <w:rFonts w:cstheme="minorHAnsi"/>
              </w:rPr>
              <w:t xml:space="preserve"> to extend boundaries and provide for buffer zones</w:t>
            </w:r>
            <w:r w:rsidRPr="00520C23">
              <w:rPr>
                <w:rFonts w:cstheme="minorHAnsi"/>
              </w:rPr>
              <w:t>).</w:t>
            </w:r>
          </w:p>
          <w:p w14:paraId="137BD870" w14:textId="6B491A78" w:rsidR="002054C2" w:rsidRPr="002054C2" w:rsidRDefault="007E7BDC" w:rsidP="002054C2">
            <w:pPr>
              <w:pStyle w:val="ListParagraph"/>
              <w:numPr>
                <w:ilvl w:val="0"/>
                <w:numId w:val="2"/>
              </w:numPr>
              <w:spacing w:before="120"/>
              <w:rPr>
                <w:rFonts w:cstheme="minorHAnsi"/>
              </w:rPr>
            </w:pPr>
            <w:r>
              <w:rPr>
                <w:rFonts w:cstheme="minorHAnsi"/>
              </w:rPr>
              <w:t>The government has</w:t>
            </w:r>
            <w:r w:rsidR="00A116A6">
              <w:rPr>
                <w:rFonts w:cstheme="minorHAnsi"/>
              </w:rPr>
              <w:t xml:space="preserve"> also</w:t>
            </w:r>
            <w:r>
              <w:rPr>
                <w:rFonts w:cstheme="minorHAnsi"/>
              </w:rPr>
              <w:t xml:space="preserve"> not </w:t>
            </w:r>
            <w:r w:rsidR="0043652A">
              <w:rPr>
                <w:rFonts w:cstheme="minorHAnsi"/>
              </w:rPr>
              <w:t>amended</w:t>
            </w:r>
            <w:r>
              <w:rPr>
                <w:rFonts w:cstheme="minorHAnsi"/>
              </w:rPr>
              <w:t xml:space="preserve"> the </w:t>
            </w:r>
            <w:r w:rsidR="00A116A6">
              <w:rPr>
                <w:rFonts w:cstheme="minorHAnsi"/>
              </w:rPr>
              <w:t>Code of Practice</w:t>
            </w:r>
            <w:r w:rsidR="0043652A">
              <w:rPr>
                <w:rFonts w:cstheme="minorHAnsi"/>
              </w:rPr>
              <w:t xml:space="preserve"> to </w:t>
            </w:r>
            <w:r w:rsidR="0009190B">
              <w:rPr>
                <w:rFonts w:cstheme="minorHAnsi"/>
              </w:rPr>
              <w:t xml:space="preserve">exclude </w:t>
            </w:r>
            <w:r w:rsidR="00D30AA1">
              <w:rPr>
                <w:rFonts w:cstheme="minorHAnsi"/>
              </w:rPr>
              <w:t xml:space="preserve">activities </w:t>
            </w:r>
            <w:r w:rsidR="00543137">
              <w:rPr>
                <w:rFonts w:cstheme="minorHAnsi"/>
              </w:rPr>
              <w:t>in certain areas as recommended in the SREBA</w:t>
            </w:r>
            <w:r w:rsidR="00A116A6">
              <w:rPr>
                <w:rFonts w:cstheme="minorHAnsi"/>
              </w:rPr>
              <w:t xml:space="preserve">. </w:t>
            </w:r>
            <w:r w:rsidR="00FE28D9">
              <w:rPr>
                <w:rFonts w:cstheme="minorHAnsi"/>
              </w:rPr>
              <w:t>The most recent version of the Code of Practice is dated 31 May 2019.</w:t>
            </w:r>
          </w:p>
          <w:p w14:paraId="06B5B238" w14:textId="54AF649F" w:rsidR="00E23ACD" w:rsidRPr="00520C23" w:rsidRDefault="00472715" w:rsidP="00472715">
            <w:pPr>
              <w:pStyle w:val="ListParagraph"/>
              <w:numPr>
                <w:ilvl w:val="0"/>
                <w:numId w:val="2"/>
              </w:numPr>
              <w:spacing w:before="120"/>
              <w:rPr>
                <w:rFonts w:cstheme="minorHAnsi"/>
              </w:rPr>
            </w:pPr>
            <w:r w:rsidRPr="00520C23">
              <w:rPr>
                <w:rFonts w:cstheme="minorHAnsi"/>
              </w:rPr>
              <w:t xml:space="preserve">Also, </w:t>
            </w:r>
            <w:r w:rsidR="009C111C">
              <w:rPr>
                <w:rFonts w:cstheme="minorHAnsi"/>
              </w:rPr>
              <w:t xml:space="preserve">not all </w:t>
            </w:r>
            <w:r w:rsidRPr="00520C23">
              <w:rPr>
                <w:rFonts w:cstheme="minorHAnsi"/>
              </w:rPr>
              <w:t>reserved blocks have been declared to date</w:t>
            </w:r>
            <w:r w:rsidR="00BB6EBB">
              <w:rPr>
                <w:rFonts w:cstheme="minorHAnsi"/>
              </w:rPr>
              <w:t xml:space="preserve">, including sites </w:t>
            </w:r>
            <w:r w:rsidR="00A906ED">
              <w:rPr>
                <w:rFonts w:cstheme="minorHAnsi"/>
              </w:rPr>
              <w:t>in Category 3 (“high conservation value”),</w:t>
            </w:r>
            <w:r w:rsidR="009C111C">
              <w:rPr>
                <w:rFonts w:cstheme="minorHAnsi"/>
              </w:rPr>
              <w:t xml:space="preserve"> and </w:t>
            </w:r>
            <w:r w:rsidRPr="00520C23">
              <w:rPr>
                <w:rFonts w:cstheme="minorHAnsi"/>
              </w:rPr>
              <w:t>should be declared prior to any additional exploration permits being granted.</w:t>
            </w:r>
          </w:p>
        </w:tc>
      </w:tr>
      <w:tr w:rsidR="00EA3C33" w:rsidRPr="00520C23" w14:paraId="673BE475" w14:textId="77777777" w:rsidTr="00EA3C33">
        <w:tc>
          <w:tcPr>
            <w:tcW w:w="846" w:type="dxa"/>
            <w:shd w:val="clear" w:color="auto" w:fill="auto"/>
          </w:tcPr>
          <w:p w14:paraId="40853F95" w14:textId="3F9F4D75" w:rsidR="00472715" w:rsidRPr="00520C23" w:rsidRDefault="00472715" w:rsidP="00472715">
            <w:pPr>
              <w:spacing w:before="120"/>
              <w:jc w:val="center"/>
              <w:rPr>
                <w:rFonts w:cstheme="minorHAnsi"/>
              </w:rPr>
            </w:pPr>
            <w:r w:rsidRPr="00520C23">
              <w:rPr>
                <w:rFonts w:cstheme="minorHAnsi"/>
              </w:rPr>
              <w:t>14.5</w:t>
            </w:r>
          </w:p>
        </w:tc>
        <w:tc>
          <w:tcPr>
            <w:tcW w:w="4819" w:type="dxa"/>
            <w:shd w:val="clear" w:color="auto" w:fill="auto"/>
          </w:tcPr>
          <w:p w14:paraId="52E50714" w14:textId="71BBAFA2" w:rsidR="00472715" w:rsidRPr="00520C23" w:rsidRDefault="00472715" w:rsidP="00472715">
            <w:pPr>
              <w:spacing w:before="120"/>
              <w:rPr>
                <w:rFonts w:cstheme="minorHAnsi"/>
                <w:i/>
                <w:iCs/>
              </w:rPr>
            </w:pPr>
            <w:r w:rsidRPr="00520C23">
              <w:rPr>
                <w:rFonts w:cstheme="minorHAnsi"/>
                <w:i/>
                <w:iCs/>
              </w:rPr>
              <w:t>That the Government immediately considers and implements mechanisms to retrospectively apply Recommendation 14.4 to granted exploration permits.</w:t>
            </w:r>
          </w:p>
        </w:tc>
        <w:tc>
          <w:tcPr>
            <w:tcW w:w="5760" w:type="dxa"/>
            <w:shd w:val="clear" w:color="auto" w:fill="auto"/>
          </w:tcPr>
          <w:p w14:paraId="374D5CD6" w14:textId="68FB5F88" w:rsidR="00472715" w:rsidRPr="00520C23" w:rsidRDefault="00472715" w:rsidP="00472715">
            <w:pPr>
              <w:spacing w:before="120"/>
              <w:rPr>
                <w:rFonts w:cstheme="minorHAnsi"/>
              </w:rPr>
            </w:pPr>
            <w:r w:rsidRPr="00520C23">
              <w:rPr>
                <w:rFonts w:cstheme="minorHAnsi"/>
              </w:rPr>
              <w:t>The government’s Reserved Block Policy determines that it will be negotiating with exploration permit holders that have identified reserved blocks on their tenure to relinquish those areas from their permit area.</w:t>
            </w:r>
            <w:r w:rsidR="008034A8">
              <w:rPr>
                <w:rFonts w:cstheme="minorHAnsi"/>
              </w:rPr>
              <w:t xml:space="preserve"> </w:t>
            </w:r>
          </w:p>
        </w:tc>
        <w:tc>
          <w:tcPr>
            <w:tcW w:w="5670" w:type="dxa"/>
            <w:shd w:val="clear" w:color="auto" w:fill="auto"/>
          </w:tcPr>
          <w:p w14:paraId="43FFF08A" w14:textId="1422B55E" w:rsidR="00472715" w:rsidRPr="00520C23" w:rsidRDefault="00472715" w:rsidP="00472715">
            <w:pPr>
              <w:spacing w:before="120"/>
              <w:rPr>
                <w:rFonts w:cstheme="minorHAnsi"/>
              </w:rPr>
            </w:pPr>
            <w:r w:rsidRPr="00520C23">
              <w:rPr>
                <w:rFonts w:cstheme="minorHAnsi"/>
                <w:b/>
              </w:rPr>
              <w:t>Reserved Blocks Policy</w:t>
            </w:r>
          </w:p>
          <w:p w14:paraId="1CF33B30" w14:textId="32E17382" w:rsidR="00472715" w:rsidRPr="00520C23" w:rsidRDefault="00472715" w:rsidP="00472715">
            <w:pPr>
              <w:spacing w:before="120"/>
              <w:rPr>
                <w:rFonts w:cstheme="minorHAnsi"/>
              </w:rPr>
            </w:pPr>
            <w:r w:rsidRPr="00520C23">
              <w:rPr>
                <w:rFonts w:cstheme="minorHAnsi"/>
              </w:rPr>
              <w:t>Tranche 3 includes areas where there is a granted exploration permit.</w:t>
            </w:r>
          </w:p>
          <w:p w14:paraId="38AE8B35" w14:textId="1448BBCD" w:rsidR="00472715" w:rsidRPr="00520C23" w:rsidRDefault="00472715" w:rsidP="00472715">
            <w:pPr>
              <w:spacing w:before="120"/>
              <w:rPr>
                <w:rFonts w:cstheme="minorHAnsi"/>
              </w:rPr>
            </w:pPr>
            <w:r w:rsidRPr="00520C23">
              <w:rPr>
                <w:rFonts w:cstheme="minorHAnsi"/>
              </w:rPr>
              <w:t>The Department of Industry, Tourism and Trade will negotiate with the permit holders to relinquish those areas.</w:t>
            </w:r>
          </w:p>
          <w:p w14:paraId="2DEF5E07" w14:textId="3AC91FD4" w:rsidR="00472715" w:rsidRPr="00520C23" w:rsidRDefault="00472715" w:rsidP="00472715">
            <w:pPr>
              <w:spacing w:before="120"/>
              <w:rPr>
                <w:rFonts w:cstheme="minorHAnsi"/>
              </w:rPr>
            </w:pPr>
            <w:r w:rsidRPr="00520C23">
              <w:rPr>
                <w:rFonts w:cstheme="minorHAnsi"/>
              </w:rPr>
              <w:t xml:space="preserve">The NT government has an updated list of areas declared reserved blocks </w:t>
            </w:r>
            <w:hyperlink r:id="rId89" w:history="1">
              <w:r w:rsidRPr="00520C23">
                <w:rPr>
                  <w:rStyle w:val="Hyperlink"/>
                  <w:rFonts w:cstheme="minorHAnsi"/>
                </w:rPr>
                <w:t>here</w:t>
              </w:r>
            </w:hyperlink>
            <w:r w:rsidRPr="00520C23">
              <w:rPr>
                <w:rFonts w:cstheme="minorHAnsi"/>
              </w:rPr>
              <w:t>.</w:t>
            </w:r>
          </w:p>
        </w:tc>
        <w:tc>
          <w:tcPr>
            <w:tcW w:w="5310" w:type="dxa"/>
            <w:shd w:val="clear" w:color="auto" w:fill="FFF2CC" w:themeFill="accent4" w:themeFillTint="33"/>
          </w:tcPr>
          <w:p w14:paraId="5D444256" w14:textId="31FBF854" w:rsidR="00472715" w:rsidRPr="00520C23" w:rsidRDefault="00472715" w:rsidP="00472715">
            <w:pPr>
              <w:spacing w:before="120"/>
              <w:rPr>
                <w:rFonts w:cstheme="minorHAnsi"/>
              </w:rPr>
            </w:pPr>
            <w:r w:rsidRPr="00520C23">
              <w:rPr>
                <w:rFonts w:cstheme="minorHAnsi"/>
              </w:rPr>
              <w:t xml:space="preserve">The Reserved Blocks Policy adequately meets recommendation 14.5, but we have concerns about its implementation. </w:t>
            </w:r>
          </w:p>
          <w:p w14:paraId="2C60AF34" w14:textId="687CD3BE" w:rsidR="00472715" w:rsidRPr="00520C23" w:rsidRDefault="00472715" w:rsidP="00472715">
            <w:pPr>
              <w:spacing w:before="120"/>
              <w:rPr>
                <w:rFonts w:cstheme="minorHAnsi"/>
                <w:i/>
                <w:iCs/>
                <w:u w:val="single"/>
              </w:rPr>
            </w:pPr>
            <w:r w:rsidRPr="00520C23">
              <w:rPr>
                <w:rFonts w:cstheme="minorHAnsi"/>
                <w:i/>
                <w:iCs/>
                <w:u w:val="single"/>
              </w:rPr>
              <w:t>Comments</w:t>
            </w:r>
          </w:p>
          <w:p w14:paraId="52F6F5AE" w14:textId="3E91DAD4" w:rsidR="00472715" w:rsidRPr="00072C32" w:rsidRDefault="00472715" w:rsidP="00072C32">
            <w:pPr>
              <w:pStyle w:val="ListParagraph"/>
              <w:numPr>
                <w:ilvl w:val="0"/>
                <w:numId w:val="85"/>
              </w:numPr>
              <w:spacing w:before="120"/>
              <w:rPr>
                <w:rFonts w:cstheme="minorHAnsi"/>
              </w:rPr>
            </w:pPr>
            <w:r w:rsidRPr="00520C23">
              <w:rPr>
                <w:rFonts w:cstheme="minorHAnsi"/>
              </w:rPr>
              <w:t>Analysis of how effective retrospective protection of important areas in Tranche 3 requires a case-by-case approach.</w:t>
            </w:r>
            <w:r w:rsidR="00072C32">
              <w:rPr>
                <w:rFonts w:cstheme="minorHAnsi"/>
              </w:rPr>
              <w:t xml:space="preserve"> </w:t>
            </w:r>
            <w:r w:rsidRPr="00072C32">
              <w:rPr>
                <w:rFonts w:cstheme="minorHAnsi"/>
              </w:rPr>
              <w:t xml:space="preserve">However, it does not appear that any exploration permit blocks have been adjusted thus far. </w:t>
            </w:r>
          </w:p>
        </w:tc>
      </w:tr>
      <w:tr w:rsidR="00EA3C33" w:rsidRPr="00520C23" w14:paraId="73C513F2" w14:textId="77777777" w:rsidTr="00EA3C33">
        <w:tc>
          <w:tcPr>
            <w:tcW w:w="846" w:type="dxa"/>
            <w:shd w:val="clear" w:color="auto" w:fill="auto"/>
          </w:tcPr>
          <w:p w14:paraId="7FB84AF2" w14:textId="04B435CC" w:rsidR="00472715" w:rsidRPr="00520C23" w:rsidRDefault="00472715" w:rsidP="00472715">
            <w:pPr>
              <w:spacing w:before="120"/>
              <w:jc w:val="center"/>
              <w:rPr>
                <w:rFonts w:cstheme="minorHAnsi"/>
              </w:rPr>
            </w:pPr>
            <w:r w:rsidRPr="00520C23">
              <w:rPr>
                <w:rFonts w:cstheme="minorHAnsi"/>
              </w:rPr>
              <w:t>14.6</w:t>
            </w:r>
          </w:p>
        </w:tc>
        <w:tc>
          <w:tcPr>
            <w:tcW w:w="4819" w:type="dxa"/>
            <w:shd w:val="clear" w:color="auto" w:fill="auto"/>
          </w:tcPr>
          <w:p w14:paraId="1162778F" w14:textId="77777777" w:rsidR="00472715" w:rsidRPr="00520C23" w:rsidRDefault="00472715" w:rsidP="00472715">
            <w:pPr>
              <w:spacing w:before="120"/>
              <w:rPr>
                <w:rFonts w:cstheme="minorHAnsi"/>
                <w:i/>
                <w:iCs/>
              </w:rPr>
            </w:pPr>
            <w:r w:rsidRPr="00520C23">
              <w:rPr>
                <w:rFonts w:cstheme="minorHAnsi"/>
                <w:i/>
                <w:iCs/>
              </w:rPr>
              <w:t>That a statutory land access agreement be required by legislation.</w:t>
            </w:r>
          </w:p>
          <w:p w14:paraId="09915293" w14:textId="77777777" w:rsidR="00472715" w:rsidRPr="00520C23" w:rsidRDefault="00472715" w:rsidP="00472715">
            <w:pPr>
              <w:spacing w:before="120"/>
              <w:rPr>
                <w:rFonts w:cstheme="minorHAnsi"/>
                <w:i/>
                <w:iCs/>
              </w:rPr>
            </w:pPr>
            <w:r w:rsidRPr="00520C23">
              <w:rPr>
                <w:rFonts w:cstheme="minorHAnsi"/>
                <w:i/>
                <w:iCs/>
              </w:rPr>
              <w:t xml:space="preserve">That prior to undertaking any onshore shale gas activity on a Pastoral Lease (including but not limited to any exploration or production activity), a land access agreement must be negotiated and </w:t>
            </w:r>
            <w:r w:rsidRPr="00520C23">
              <w:rPr>
                <w:rFonts w:cstheme="minorHAnsi"/>
                <w:i/>
                <w:iCs/>
              </w:rPr>
              <w:lastRenderedPageBreak/>
              <w:t>signed by the Pastoral Lessee and the gas company.</w:t>
            </w:r>
          </w:p>
          <w:p w14:paraId="27199447" w14:textId="77777777" w:rsidR="00472715" w:rsidRPr="00520C23" w:rsidRDefault="00472715" w:rsidP="00472715">
            <w:pPr>
              <w:spacing w:before="120"/>
              <w:rPr>
                <w:rFonts w:cstheme="minorHAnsi"/>
                <w:i/>
                <w:iCs/>
              </w:rPr>
            </w:pPr>
            <w:r w:rsidRPr="00520C23">
              <w:rPr>
                <w:rFonts w:cstheme="minorHAnsi"/>
                <w:i/>
                <w:iCs/>
              </w:rPr>
              <w:t>That breach of the land access agreement be a breach of the relevant exploration or production approval giving rise to the onshore shale gas activity being carried out on the land.</w:t>
            </w:r>
          </w:p>
          <w:p w14:paraId="5C201C13" w14:textId="77777777" w:rsidR="00472715" w:rsidRPr="00520C23" w:rsidRDefault="00472715" w:rsidP="00472715">
            <w:pPr>
              <w:spacing w:before="120"/>
              <w:rPr>
                <w:rFonts w:cstheme="minorHAnsi"/>
                <w:i/>
                <w:iCs/>
              </w:rPr>
            </w:pPr>
          </w:p>
        </w:tc>
        <w:tc>
          <w:tcPr>
            <w:tcW w:w="5760" w:type="dxa"/>
            <w:shd w:val="clear" w:color="auto" w:fill="auto"/>
          </w:tcPr>
          <w:p w14:paraId="6D547D68" w14:textId="77777777" w:rsidR="00472715" w:rsidRPr="00520C23" w:rsidRDefault="00472715" w:rsidP="00472715">
            <w:pPr>
              <w:spacing w:before="120"/>
              <w:rPr>
                <w:rFonts w:cstheme="minorHAnsi"/>
              </w:rPr>
            </w:pPr>
            <w:r w:rsidRPr="00520C23">
              <w:rPr>
                <w:rFonts w:cstheme="minorHAnsi"/>
              </w:rPr>
              <w:lastRenderedPageBreak/>
              <w:t>The </w:t>
            </w:r>
            <w:r w:rsidRPr="00520C23">
              <w:rPr>
                <w:rFonts w:cstheme="minorHAnsi"/>
                <w:i/>
                <w:iCs/>
              </w:rPr>
              <w:t>Petroleum Legislation Miscellaneous Amendments Bill 2019</w:t>
            </w:r>
            <w:r w:rsidRPr="00520C23">
              <w:rPr>
                <w:rFonts w:cstheme="minorHAnsi"/>
              </w:rPr>
              <w:t> was passed in the Legislative Assembly on 24 March 2020 and was assented to on 30 March 2020. The amendments to the Act commenced in June 2020 and allow for regulations to be made in relation to land access.</w:t>
            </w:r>
          </w:p>
          <w:p w14:paraId="5D5BECC6" w14:textId="77777777" w:rsidR="00472715" w:rsidRPr="00520C23" w:rsidRDefault="00472715" w:rsidP="00472715">
            <w:pPr>
              <w:spacing w:before="120"/>
              <w:rPr>
                <w:rFonts w:cstheme="minorHAnsi"/>
              </w:rPr>
            </w:pPr>
            <w:r w:rsidRPr="00520C23">
              <w:rPr>
                <w:rFonts w:cstheme="minorHAnsi"/>
              </w:rPr>
              <w:lastRenderedPageBreak/>
              <w:t>The government consulted with affected stakeholders on </w:t>
            </w:r>
            <w:r w:rsidRPr="00520C23">
              <w:rPr>
                <w:rFonts w:cstheme="minorHAnsi"/>
                <w:i/>
                <w:iCs/>
              </w:rPr>
              <w:t>draft Petroleum Regulations</w:t>
            </w:r>
            <w:r w:rsidRPr="00520C23">
              <w:rPr>
                <w:rFonts w:cstheme="minorHAnsi"/>
              </w:rPr>
              <w:t> that detail the requirements of statutory land access agreements. The </w:t>
            </w:r>
            <w:r w:rsidRPr="00520C23">
              <w:rPr>
                <w:rFonts w:cstheme="minorHAnsi"/>
                <w:i/>
                <w:iCs/>
              </w:rPr>
              <w:t>Petroleum Regulations 2020</w:t>
            </w:r>
            <w:r w:rsidRPr="00520C23">
              <w:rPr>
                <w:rFonts w:cstheme="minorHAnsi"/>
              </w:rPr>
              <w:t> have been made by the Administrator and commence 1 January 2021.</w:t>
            </w:r>
          </w:p>
          <w:p w14:paraId="56E1EFF9" w14:textId="77777777" w:rsidR="00472715" w:rsidRPr="00520C23" w:rsidRDefault="00472715" w:rsidP="00472715">
            <w:pPr>
              <w:spacing w:before="120"/>
              <w:rPr>
                <w:rFonts w:cstheme="minorHAnsi"/>
              </w:rPr>
            </w:pPr>
          </w:p>
        </w:tc>
        <w:tc>
          <w:tcPr>
            <w:tcW w:w="5670" w:type="dxa"/>
            <w:shd w:val="clear" w:color="auto" w:fill="auto"/>
          </w:tcPr>
          <w:p w14:paraId="16E0DBE8" w14:textId="0ACAE733" w:rsidR="00472715" w:rsidRPr="00520C23" w:rsidRDefault="00472715" w:rsidP="00472715">
            <w:pPr>
              <w:spacing w:before="120"/>
              <w:rPr>
                <w:rFonts w:cstheme="minorHAnsi"/>
                <w:b/>
                <w:bCs/>
              </w:rPr>
            </w:pPr>
            <w:r w:rsidRPr="00520C23">
              <w:rPr>
                <w:rFonts w:cstheme="minorHAnsi"/>
                <w:b/>
                <w:bCs/>
              </w:rPr>
              <w:lastRenderedPageBreak/>
              <w:t>Petroleum Regulations 2020 (NT)</w:t>
            </w:r>
          </w:p>
          <w:p w14:paraId="2D0D812A" w14:textId="76D650A6" w:rsidR="00472715" w:rsidRPr="00520C23" w:rsidRDefault="00472715" w:rsidP="00472715">
            <w:pPr>
              <w:spacing w:before="120"/>
              <w:rPr>
                <w:u w:val="single"/>
              </w:rPr>
            </w:pPr>
            <w:r w:rsidRPr="00520C23">
              <w:rPr>
                <w:u w:val="single"/>
              </w:rPr>
              <w:t xml:space="preserve">Division 2 </w:t>
            </w:r>
          </w:p>
          <w:p w14:paraId="5D4682AD" w14:textId="77777777" w:rsidR="00472715" w:rsidRPr="00520C23" w:rsidRDefault="00472715" w:rsidP="00472715">
            <w:pPr>
              <w:spacing w:before="120"/>
              <w:rPr>
                <w:u w:val="single"/>
              </w:rPr>
            </w:pPr>
            <w:r w:rsidRPr="00520C23">
              <w:rPr>
                <w:u w:val="single"/>
              </w:rPr>
              <w:t xml:space="preserve">Requirement for access agreements </w:t>
            </w:r>
          </w:p>
          <w:p w14:paraId="0F76E9C9" w14:textId="77777777" w:rsidR="00472715" w:rsidRPr="00520C23" w:rsidRDefault="00472715" w:rsidP="00472715">
            <w:pPr>
              <w:spacing w:before="120"/>
              <w:rPr>
                <w:u w:val="single"/>
              </w:rPr>
            </w:pPr>
            <w:r w:rsidRPr="00520C23">
              <w:rPr>
                <w:u w:val="single"/>
              </w:rPr>
              <w:t xml:space="preserve">12 Access agreement required before commencement of operations </w:t>
            </w:r>
          </w:p>
          <w:p w14:paraId="66BF4788" w14:textId="77777777" w:rsidR="00472715" w:rsidRPr="00520C23" w:rsidRDefault="00472715" w:rsidP="00472715">
            <w:pPr>
              <w:spacing w:before="120"/>
              <w:rPr>
                <w:i/>
                <w:iCs/>
              </w:rPr>
            </w:pPr>
            <w:r w:rsidRPr="00520C23">
              <w:rPr>
                <w:i/>
                <w:iCs/>
              </w:rPr>
              <w:lastRenderedPageBreak/>
              <w:t>(1) Subject to subregulation (2),</w:t>
            </w:r>
            <w:r w:rsidRPr="00520C23">
              <w:rPr>
                <w:b/>
                <w:i/>
                <w:iCs/>
              </w:rPr>
              <w:t xml:space="preserve"> an interest holder must not commence regulated operations on any particular area of land except in accordance with an approved access agreement. </w:t>
            </w:r>
          </w:p>
          <w:p w14:paraId="34C012F4" w14:textId="12FD7C05" w:rsidR="00472715" w:rsidRPr="00520C23" w:rsidRDefault="00472715" w:rsidP="00472715">
            <w:pPr>
              <w:spacing w:before="120"/>
            </w:pPr>
            <w:r w:rsidRPr="00520C23">
              <w:t>Note for subregulation (1) Regulation 47 provides that it is an offence for an interest holder to commence regulated operations on land without the land being the subject of an approved access agreement.</w:t>
            </w:r>
          </w:p>
        </w:tc>
        <w:tc>
          <w:tcPr>
            <w:tcW w:w="5310" w:type="dxa"/>
            <w:shd w:val="clear" w:color="auto" w:fill="FED6D6"/>
          </w:tcPr>
          <w:p w14:paraId="724D406D" w14:textId="24478ACE" w:rsidR="00472715" w:rsidRPr="00520C23" w:rsidRDefault="00472715" w:rsidP="00472715">
            <w:pPr>
              <w:spacing w:before="120"/>
              <w:rPr>
                <w:rFonts w:cstheme="minorHAnsi"/>
              </w:rPr>
            </w:pPr>
            <w:r w:rsidRPr="00520C23">
              <w:rPr>
                <w:rFonts w:cstheme="minorHAnsi"/>
              </w:rPr>
              <w:lastRenderedPageBreak/>
              <w:t xml:space="preserve">The </w:t>
            </w:r>
            <w:r w:rsidRPr="00520C23">
              <w:rPr>
                <w:rFonts w:cstheme="minorHAnsi"/>
                <w:i/>
                <w:iCs/>
              </w:rPr>
              <w:t>Petroleum Regulations 2020</w:t>
            </w:r>
            <w:r w:rsidRPr="00520C23">
              <w:rPr>
                <w:rFonts w:cstheme="minorHAnsi"/>
              </w:rPr>
              <w:t xml:space="preserve"> do not adequately address 14.6.</w:t>
            </w:r>
          </w:p>
          <w:p w14:paraId="67A4C911" w14:textId="511E107A" w:rsidR="00472715" w:rsidRPr="00520C23" w:rsidRDefault="00472715" w:rsidP="00472715">
            <w:pPr>
              <w:spacing w:before="120"/>
              <w:rPr>
                <w:rFonts w:cstheme="minorHAnsi"/>
                <w:i/>
                <w:iCs/>
                <w:u w:val="single"/>
              </w:rPr>
            </w:pPr>
            <w:r w:rsidRPr="00520C23">
              <w:rPr>
                <w:rFonts w:cstheme="minorHAnsi"/>
                <w:i/>
                <w:iCs/>
                <w:u w:val="single"/>
              </w:rPr>
              <w:t>Comments</w:t>
            </w:r>
          </w:p>
          <w:p w14:paraId="532DE291" w14:textId="142D92D6" w:rsidR="00472715" w:rsidRPr="00520C23" w:rsidRDefault="00472715" w:rsidP="00472715">
            <w:pPr>
              <w:pStyle w:val="ListParagraph"/>
              <w:numPr>
                <w:ilvl w:val="0"/>
                <w:numId w:val="86"/>
              </w:numPr>
              <w:spacing w:before="120"/>
              <w:rPr>
                <w:rFonts w:cstheme="minorHAnsi"/>
              </w:rPr>
            </w:pPr>
            <w:r w:rsidRPr="00520C23">
              <w:rPr>
                <w:rFonts w:cstheme="minorHAnsi"/>
              </w:rPr>
              <w:t xml:space="preserve">The </w:t>
            </w:r>
            <w:r w:rsidRPr="00520C23">
              <w:rPr>
                <w:rFonts w:cstheme="minorHAnsi"/>
                <w:i/>
                <w:iCs/>
              </w:rPr>
              <w:t>Petroleum Regulations 2020</w:t>
            </w:r>
            <w:r w:rsidRPr="00520C23">
              <w:rPr>
                <w:rFonts w:cstheme="minorHAnsi"/>
              </w:rPr>
              <w:t xml:space="preserve"> do require access agreements to be in place before commencement of </w:t>
            </w:r>
            <w:r w:rsidRPr="00520C23">
              <w:rPr>
                <w:rFonts w:cstheme="minorHAnsi"/>
              </w:rPr>
              <w:lastRenderedPageBreak/>
              <w:t>petroleum operations (including exploration permits and other preliminary activities).</w:t>
            </w:r>
          </w:p>
          <w:p w14:paraId="5EAB34B6" w14:textId="77C94816" w:rsidR="00472715" w:rsidRPr="00520C23" w:rsidRDefault="00472715" w:rsidP="00472715">
            <w:pPr>
              <w:pStyle w:val="ListParagraph"/>
              <w:numPr>
                <w:ilvl w:val="0"/>
                <w:numId w:val="86"/>
              </w:numPr>
              <w:spacing w:before="120"/>
              <w:rPr>
                <w:rFonts w:cstheme="minorHAnsi"/>
              </w:rPr>
            </w:pPr>
            <w:r w:rsidRPr="00520C23">
              <w:rPr>
                <w:rFonts w:cstheme="minorHAnsi"/>
              </w:rPr>
              <w:t>There do not appear to be any provisions specifically about pastoral leases.</w:t>
            </w:r>
          </w:p>
          <w:p w14:paraId="47A3D8E8" w14:textId="4F2F06A6" w:rsidR="00472715" w:rsidRPr="00520C23" w:rsidRDefault="00472715" w:rsidP="00472715">
            <w:pPr>
              <w:pStyle w:val="ListParagraph"/>
              <w:numPr>
                <w:ilvl w:val="0"/>
                <w:numId w:val="86"/>
              </w:numPr>
              <w:spacing w:before="120"/>
              <w:rPr>
                <w:rFonts w:cstheme="minorHAnsi"/>
              </w:rPr>
            </w:pPr>
            <w:r w:rsidRPr="00520C23">
              <w:rPr>
                <w:rFonts w:cstheme="minorHAnsi"/>
              </w:rPr>
              <w:t>While it is an offen</w:t>
            </w:r>
            <w:r w:rsidR="00481063">
              <w:rPr>
                <w:rFonts w:cstheme="minorHAnsi"/>
              </w:rPr>
              <w:t>c</w:t>
            </w:r>
            <w:r w:rsidRPr="00520C23">
              <w:rPr>
                <w:rFonts w:cstheme="minorHAnsi"/>
              </w:rPr>
              <w:t xml:space="preserve">e to commence regulated operations on land without an approved access agreement under the </w:t>
            </w:r>
            <w:r w:rsidRPr="00520C23">
              <w:rPr>
                <w:rFonts w:cstheme="minorHAnsi"/>
                <w:i/>
                <w:iCs/>
              </w:rPr>
              <w:t>Petroleum Regulations 2020</w:t>
            </w:r>
            <w:r w:rsidRPr="00520C23">
              <w:rPr>
                <w:rFonts w:cstheme="minorHAnsi"/>
              </w:rPr>
              <w:t xml:space="preserve">, these regulations do not specifically state that a breach of the access agreement is a breach of the relevant exploration or production approval. </w:t>
            </w:r>
          </w:p>
        </w:tc>
      </w:tr>
      <w:tr w:rsidR="00EA3C33" w:rsidRPr="00520C23" w14:paraId="636D7429" w14:textId="77777777" w:rsidTr="00EA3C33">
        <w:tc>
          <w:tcPr>
            <w:tcW w:w="846" w:type="dxa"/>
            <w:shd w:val="clear" w:color="auto" w:fill="auto"/>
          </w:tcPr>
          <w:p w14:paraId="6A9B18AF" w14:textId="53270888" w:rsidR="00472715" w:rsidRPr="00520C23" w:rsidRDefault="00472715" w:rsidP="00472715">
            <w:pPr>
              <w:spacing w:before="120"/>
              <w:jc w:val="center"/>
              <w:rPr>
                <w:rFonts w:cstheme="minorHAnsi"/>
              </w:rPr>
            </w:pPr>
            <w:r w:rsidRPr="00520C23">
              <w:rPr>
                <w:rFonts w:cstheme="minorHAnsi"/>
              </w:rPr>
              <w:lastRenderedPageBreak/>
              <w:t>14.7</w:t>
            </w:r>
          </w:p>
        </w:tc>
        <w:tc>
          <w:tcPr>
            <w:tcW w:w="4819" w:type="dxa"/>
            <w:shd w:val="clear" w:color="auto" w:fill="auto"/>
          </w:tcPr>
          <w:p w14:paraId="453FE723" w14:textId="13D2A378" w:rsidR="00472715" w:rsidRPr="00520C23" w:rsidRDefault="00472715" w:rsidP="00472715">
            <w:pPr>
              <w:spacing w:before="120"/>
              <w:rPr>
                <w:rFonts w:cstheme="minorHAnsi"/>
                <w:i/>
                <w:iCs/>
              </w:rPr>
            </w:pPr>
            <w:r w:rsidRPr="00520C23">
              <w:rPr>
                <w:rFonts w:cstheme="minorHAnsi"/>
                <w:i/>
                <w:iCs/>
              </w:rPr>
              <w:t>That in addition to any terms negotiated between the pastoralist and the gas company, the statutory land access agreement must contain the above standard minimum protections for pastoralists.</w:t>
            </w:r>
          </w:p>
          <w:p w14:paraId="0547D9D0" w14:textId="3A380889" w:rsidR="00472715" w:rsidRPr="00520C23" w:rsidRDefault="00472715" w:rsidP="00472715">
            <w:pPr>
              <w:spacing w:before="120"/>
              <w:rPr>
                <w:rFonts w:cstheme="minorHAnsi"/>
                <w:i/>
                <w:iCs/>
                <w:u w:val="single"/>
              </w:rPr>
            </w:pPr>
            <w:r w:rsidRPr="00520C23">
              <w:rPr>
                <w:rFonts w:cstheme="minorHAnsi"/>
                <w:i/>
                <w:iCs/>
                <w:u w:val="single"/>
              </w:rPr>
              <w:t>Minimum Protections</w:t>
            </w:r>
          </w:p>
          <w:p w14:paraId="45007252" w14:textId="4B52F6C4" w:rsidR="00472715" w:rsidRPr="00520C23" w:rsidRDefault="00472715" w:rsidP="00472715">
            <w:pPr>
              <w:spacing w:before="120"/>
              <w:rPr>
                <w:rFonts w:cstheme="minorHAnsi"/>
                <w:i/>
                <w:iCs/>
              </w:rPr>
            </w:pPr>
            <w:r w:rsidRPr="00520C23">
              <w:rPr>
                <w:rFonts w:cstheme="minorHAnsi"/>
                <w:i/>
                <w:iCs/>
              </w:rPr>
              <w:t>• minimum notice periods, given either orally or in writing, except in the case of emergencies;</w:t>
            </w:r>
          </w:p>
          <w:p w14:paraId="3E806536" w14:textId="67B40D4A" w:rsidR="00472715" w:rsidRPr="00520C23" w:rsidRDefault="00472715" w:rsidP="00472715">
            <w:pPr>
              <w:spacing w:before="120"/>
              <w:rPr>
                <w:rFonts w:cstheme="minorHAnsi"/>
                <w:i/>
                <w:iCs/>
              </w:rPr>
            </w:pPr>
            <w:r w:rsidRPr="00520C23">
              <w:rPr>
                <w:rFonts w:cstheme="minorHAnsi"/>
                <w:i/>
                <w:iCs/>
              </w:rPr>
              <w:t>• an obligation to conduct the onshore shale gas activities in a manner that minimi</w:t>
            </w:r>
            <w:r w:rsidR="00F37E5D">
              <w:rPr>
                <w:rFonts w:cstheme="minorHAnsi"/>
                <w:i/>
                <w:iCs/>
              </w:rPr>
              <w:t>s</w:t>
            </w:r>
            <w:r w:rsidRPr="00520C23">
              <w:rPr>
                <w:rFonts w:cstheme="minorHAnsi"/>
                <w:i/>
                <w:iCs/>
              </w:rPr>
              <w:t>es disturbance to livestock and property;</w:t>
            </w:r>
          </w:p>
          <w:p w14:paraId="46253112" w14:textId="184EE09B" w:rsidR="00472715" w:rsidRPr="00520C23" w:rsidRDefault="00472715" w:rsidP="00472715">
            <w:pPr>
              <w:spacing w:before="120"/>
              <w:rPr>
                <w:rFonts w:cstheme="minorHAnsi"/>
                <w:i/>
                <w:iCs/>
              </w:rPr>
            </w:pPr>
            <w:r w:rsidRPr="00520C23">
              <w:rPr>
                <w:rFonts w:cstheme="minorHAnsi"/>
                <w:i/>
                <w:iCs/>
              </w:rPr>
              <w:t>• an obligation to return any gates to their original position unless advised otherwise by the Pastoral Lessee;</w:t>
            </w:r>
          </w:p>
          <w:p w14:paraId="584554C0" w14:textId="3D642CA6" w:rsidR="00472715" w:rsidRPr="00520C23" w:rsidRDefault="00472715" w:rsidP="00472715">
            <w:pPr>
              <w:spacing w:before="120"/>
              <w:rPr>
                <w:rFonts w:cstheme="minorHAnsi"/>
                <w:i/>
                <w:iCs/>
              </w:rPr>
            </w:pPr>
            <w:r w:rsidRPr="00520C23">
              <w:rPr>
                <w:rFonts w:cstheme="minorHAnsi"/>
                <w:i/>
                <w:iCs/>
              </w:rPr>
              <w:t>• an obligation to obtain the Pastoral Lessee’s consent prior to the erection of any gate, fence or other barrier on the land;</w:t>
            </w:r>
          </w:p>
          <w:p w14:paraId="12AC5334" w14:textId="4337A0BC" w:rsidR="00472715" w:rsidRPr="00520C23" w:rsidRDefault="00472715" w:rsidP="00472715">
            <w:pPr>
              <w:spacing w:before="120"/>
              <w:rPr>
                <w:rFonts w:cstheme="minorHAnsi"/>
                <w:i/>
                <w:iCs/>
              </w:rPr>
            </w:pPr>
            <w:r w:rsidRPr="00520C23">
              <w:rPr>
                <w:rFonts w:cstheme="minorHAnsi"/>
                <w:i/>
                <w:iCs/>
              </w:rPr>
              <w:t>• an obligation to repair any gate, fence, grid or other barrier on the land damaged or harmed by the gas company or any subcontractor engaged in onshore shale gas activity on the land;</w:t>
            </w:r>
          </w:p>
          <w:p w14:paraId="546CDFE8" w14:textId="40600AEA" w:rsidR="00472715" w:rsidRPr="00520C23" w:rsidRDefault="00472715" w:rsidP="00472715">
            <w:pPr>
              <w:spacing w:before="120"/>
              <w:rPr>
                <w:rFonts w:cstheme="minorHAnsi"/>
                <w:i/>
                <w:iCs/>
              </w:rPr>
            </w:pPr>
            <w:r w:rsidRPr="00520C23">
              <w:rPr>
                <w:rFonts w:cstheme="minorHAnsi"/>
                <w:i/>
                <w:iCs/>
              </w:rPr>
              <w:t>• agreement upon the location and size of any camps on the land necessary to conduct the onshore shale gas activities;</w:t>
            </w:r>
          </w:p>
          <w:p w14:paraId="166EC544" w14:textId="06CDD524" w:rsidR="00472715" w:rsidRPr="00520C23" w:rsidRDefault="00472715" w:rsidP="00472715">
            <w:pPr>
              <w:spacing w:before="120"/>
              <w:rPr>
                <w:rFonts w:cstheme="minorHAnsi"/>
                <w:i/>
                <w:iCs/>
              </w:rPr>
            </w:pPr>
            <w:r w:rsidRPr="00520C23">
              <w:rPr>
                <w:rFonts w:cstheme="minorHAnsi"/>
                <w:i/>
                <w:iCs/>
              </w:rPr>
              <w:t>•notification to the pastoral lessee as soon as practically possible of all spills, incidents, harm or damage to the Pastoral Lease and its infrastructure and operation;</w:t>
            </w:r>
          </w:p>
          <w:p w14:paraId="39D99E09" w14:textId="155B7F91" w:rsidR="00472715" w:rsidRPr="00520C23" w:rsidRDefault="00472715" w:rsidP="00472715">
            <w:pPr>
              <w:spacing w:before="120"/>
              <w:rPr>
                <w:rFonts w:cstheme="minorHAnsi"/>
                <w:i/>
                <w:iCs/>
              </w:rPr>
            </w:pPr>
            <w:r w:rsidRPr="00520C23">
              <w:rPr>
                <w:rFonts w:cstheme="minorHAnsi"/>
                <w:i/>
                <w:iCs/>
              </w:rPr>
              <w:t>• a minimum amount of compensation payable for each well drilled (see the discussion in Section 14.6.1.6 below);</w:t>
            </w:r>
          </w:p>
          <w:p w14:paraId="6C90968F" w14:textId="0A02E89F" w:rsidR="00472715" w:rsidRPr="00520C23" w:rsidRDefault="00472715" w:rsidP="00472715">
            <w:pPr>
              <w:spacing w:before="120"/>
              <w:rPr>
                <w:rFonts w:cstheme="minorHAnsi"/>
                <w:i/>
                <w:iCs/>
              </w:rPr>
            </w:pPr>
            <w:r w:rsidRPr="00520C23">
              <w:rPr>
                <w:rFonts w:cstheme="minorHAnsi"/>
                <w:i/>
                <w:iCs/>
              </w:rPr>
              <w:t>• compensation for any decrease in the value of the land;</w:t>
            </w:r>
          </w:p>
          <w:p w14:paraId="601F0F16" w14:textId="181E6794" w:rsidR="00472715" w:rsidRPr="00520C23" w:rsidRDefault="00472715" w:rsidP="00472715">
            <w:pPr>
              <w:spacing w:before="120"/>
              <w:rPr>
                <w:rFonts w:cstheme="minorHAnsi"/>
                <w:i/>
                <w:iCs/>
              </w:rPr>
            </w:pPr>
            <w:r w:rsidRPr="00520C23">
              <w:rPr>
                <w:rFonts w:cstheme="minorHAnsi"/>
                <w:i/>
                <w:iCs/>
              </w:rPr>
              <w:t xml:space="preserve">• ‘make good’ provisions for any damage or harm to the water (surface and ground), land, infrastructure, or operation of the Pastoral Lease. The onus of proof is to be reversed so that the </w:t>
            </w:r>
            <w:r w:rsidRPr="00520C23">
              <w:rPr>
                <w:rFonts w:cstheme="minorHAnsi"/>
                <w:i/>
                <w:iCs/>
              </w:rPr>
              <w:lastRenderedPageBreak/>
              <w:t>obligation is on the gas company to demonstrate that the harm or damage was not caused by the onshore shale gas activities;</w:t>
            </w:r>
          </w:p>
          <w:p w14:paraId="590E51A9" w14:textId="5EEF39BF" w:rsidR="00472715" w:rsidRPr="00520C23" w:rsidRDefault="00472715" w:rsidP="00472715">
            <w:pPr>
              <w:spacing w:before="120"/>
              <w:rPr>
                <w:rFonts w:cstheme="minorHAnsi"/>
                <w:i/>
                <w:iCs/>
              </w:rPr>
            </w:pPr>
            <w:r w:rsidRPr="00520C23">
              <w:rPr>
                <w:rFonts w:cstheme="minorHAnsi"/>
                <w:i/>
                <w:iCs/>
              </w:rPr>
              <w:t>• indemnification for any harm or damage caused by any third party engaged by the gas company or any of its sub-contractors to the water (surface and ground), land, infrastructure or operation of the Pastoral Lease;</w:t>
            </w:r>
          </w:p>
          <w:p w14:paraId="28B9B57C" w14:textId="2506BC67" w:rsidR="00472715" w:rsidRPr="00520C23" w:rsidRDefault="00472715" w:rsidP="00472715">
            <w:pPr>
              <w:spacing w:before="120"/>
              <w:rPr>
                <w:rFonts w:cstheme="minorHAnsi"/>
                <w:i/>
                <w:iCs/>
              </w:rPr>
            </w:pPr>
            <w:r w:rsidRPr="00520C23">
              <w:rPr>
                <w:rFonts w:cstheme="minorHAnsi"/>
                <w:i/>
                <w:iCs/>
              </w:rPr>
              <w:t>• the provision of appropriate guarantees where the holder of the approval to carry out the relevant onshore shale gas activity is not the person or company undertaking the activities on the land;</w:t>
            </w:r>
          </w:p>
          <w:p w14:paraId="6021719E" w14:textId="6F1F0368" w:rsidR="00472715" w:rsidRPr="00520C23" w:rsidRDefault="00472715" w:rsidP="00472715">
            <w:pPr>
              <w:spacing w:before="120"/>
              <w:rPr>
                <w:rFonts w:cstheme="minorHAnsi"/>
                <w:i/>
                <w:iCs/>
              </w:rPr>
            </w:pPr>
            <w:r w:rsidRPr="00520C23">
              <w:rPr>
                <w:rFonts w:cstheme="minorHAnsi"/>
                <w:i/>
                <w:iCs/>
              </w:rPr>
              <w:t>• to the extent reasonable and permitted by law, a release by the gas company of the Pastoral Lessee for any death or personal injury to the gas company’s personnel, damage to or loss of the gas company’s property or consequential loss, including financial loss;</w:t>
            </w:r>
          </w:p>
          <w:p w14:paraId="61B124AD" w14:textId="2D37C37C" w:rsidR="00472715" w:rsidRPr="00520C23" w:rsidRDefault="00472715" w:rsidP="00472715">
            <w:pPr>
              <w:spacing w:before="120"/>
              <w:rPr>
                <w:rFonts w:cstheme="minorHAnsi"/>
                <w:i/>
                <w:iCs/>
              </w:rPr>
            </w:pPr>
            <w:r w:rsidRPr="00520C23">
              <w:rPr>
                <w:rFonts w:cstheme="minorHAnsi"/>
                <w:i/>
                <w:iCs/>
              </w:rPr>
              <w:t>• restrictions on, and notifications of, the sale, assignment or transfer of any rights or obligation by the gas company;</w:t>
            </w:r>
          </w:p>
          <w:p w14:paraId="63D8FAE7" w14:textId="371E6871" w:rsidR="00472715" w:rsidRPr="00520C23" w:rsidRDefault="00472715" w:rsidP="00472715">
            <w:pPr>
              <w:spacing w:before="120"/>
              <w:rPr>
                <w:rFonts w:cstheme="minorHAnsi"/>
                <w:i/>
                <w:iCs/>
              </w:rPr>
            </w:pPr>
            <w:r w:rsidRPr="00520C23">
              <w:rPr>
                <w:rFonts w:cstheme="minorHAnsi"/>
                <w:i/>
                <w:iCs/>
              </w:rPr>
              <w:t>• no confidentiality clause unless by mutual agreement of the parties;</w:t>
            </w:r>
          </w:p>
          <w:p w14:paraId="28220E0C" w14:textId="509D6661" w:rsidR="00472715" w:rsidRPr="00520C23" w:rsidRDefault="00472715" w:rsidP="00472715">
            <w:pPr>
              <w:spacing w:before="120"/>
              <w:rPr>
                <w:rFonts w:cstheme="minorHAnsi"/>
                <w:i/>
                <w:iCs/>
              </w:rPr>
            </w:pPr>
            <w:r w:rsidRPr="00520C23">
              <w:rPr>
                <w:rFonts w:cstheme="minorHAnsi"/>
                <w:i/>
                <w:iCs/>
              </w:rPr>
              <w:t>• payment of all reasonable legal, financial and technical fees incurred in respect of the agreement must be borne by the gas company holding the approval for the activity;</w:t>
            </w:r>
          </w:p>
          <w:p w14:paraId="3D81B83A" w14:textId="3B6B63CF" w:rsidR="00472715" w:rsidRPr="00520C23" w:rsidRDefault="00472715" w:rsidP="00472715">
            <w:pPr>
              <w:spacing w:before="120"/>
              <w:rPr>
                <w:rFonts w:cstheme="minorHAnsi"/>
                <w:i/>
                <w:iCs/>
              </w:rPr>
            </w:pPr>
            <w:r w:rsidRPr="00520C23">
              <w:rPr>
                <w:rFonts w:cstheme="minorHAnsi"/>
                <w:i/>
                <w:iCs/>
              </w:rPr>
              <w:t>• the payment of all duties and taxes payable in respect of the land access agreement;</w:t>
            </w:r>
          </w:p>
          <w:p w14:paraId="3485690E" w14:textId="0829DD56" w:rsidR="00472715" w:rsidRPr="00520C23" w:rsidRDefault="00472715" w:rsidP="00472715">
            <w:pPr>
              <w:spacing w:before="120"/>
              <w:rPr>
                <w:rFonts w:cstheme="minorHAnsi"/>
                <w:i/>
                <w:iCs/>
              </w:rPr>
            </w:pPr>
            <w:r w:rsidRPr="00520C23">
              <w:rPr>
                <w:rFonts w:cstheme="minorHAnsi"/>
                <w:i/>
                <w:iCs/>
              </w:rPr>
              <w:t>• clear dispute resolution mechanisms;</w:t>
            </w:r>
          </w:p>
          <w:p w14:paraId="7D1C0BB5" w14:textId="491CD620" w:rsidR="00472715" w:rsidRPr="00520C23" w:rsidRDefault="00472715" w:rsidP="00472715">
            <w:pPr>
              <w:spacing w:before="120"/>
              <w:rPr>
                <w:rFonts w:cstheme="minorHAnsi"/>
                <w:i/>
                <w:iCs/>
              </w:rPr>
            </w:pPr>
            <w:r w:rsidRPr="00520C23">
              <w:rPr>
                <w:rFonts w:cstheme="minorHAnsi"/>
                <w:i/>
                <w:iCs/>
              </w:rPr>
              <w:t>• clear termination mechanisms;</w:t>
            </w:r>
          </w:p>
          <w:p w14:paraId="37FA25DA" w14:textId="724F7811" w:rsidR="00472715" w:rsidRPr="00520C23" w:rsidRDefault="00472715" w:rsidP="00472715">
            <w:pPr>
              <w:spacing w:before="120"/>
              <w:rPr>
                <w:rFonts w:cstheme="minorHAnsi"/>
                <w:i/>
                <w:iCs/>
              </w:rPr>
            </w:pPr>
            <w:r w:rsidRPr="00520C23">
              <w:rPr>
                <w:rFonts w:cstheme="minorHAnsi"/>
                <w:i/>
                <w:iCs/>
              </w:rPr>
              <w:t>• agreement on access points, roads and tracks prior to entering onto the lease;</w:t>
            </w:r>
          </w:p>
          <w:p w14:paraId="128AE2DB" w14:textId="6DBE1A56" w:rsidR="00472715" w:rsidRPr="00520C23" w:rsidRDefault="00472715" w:rsidP="00472715">
            <w:pPr>
              <w:spacing w:before="120"/>
              <w:rPr>
                <w:rFonts w:cstheme="minorHAnsi"/>
                <w:i/>
                <w:iCs/>
              </w:rPr>
            </w:pPr>
            <w:r w:rsidRPr="00520C23">
              <w:rPr>
                <w:rFonts w:cstheme="minorHAnsi"/>
                <w:i/>
                <w:iCs/>
              </w:rPr>
              <w:t>• induction training for all employees or contractors of the gas company;</w:t>
            </w:r>
          </w:p>
          <w:p w14:paraId="73E17AED" w14:textId="04186513" w:rsidR="00472715" w:rsidRPr="00520C23" w:rsidRDefault="00472715" w:rsidP="00472715">
            <w:pPr>
              <w:spacing w:before="120"/>
              <w:rPr>
                <w:rFonts w:cstheme="minorHAnsi"/>
                <w:i/>
                <w:iCs/>
              </w:rPr>
            </w:pPr>
            <w:r w:rsidRPr="00520C23">
              <w:rPr>
                <w:rFonts w:cstheme="minorHAnsi"/>
                <w:i/>
                <w:iCs/>
              </w:rPr>
              <w:t>• an obligation to prevent the spread of weeds, feral pests and diseases, and to ensure biosecurity;</w:t>
            </w:r>
          </w:p>
          <w:p w14:paraId="29904C88" w14:textId="4F4DAEE0" w:rsidR="00472715" w:rsidRPr="00520C23" w:rsidRDefault="00472715" w:rsidP="00472715">
            <w:pPr>
              <w:spacing w:before="120"/>
              <w:rPr>
                <w:rFonts w:cstheme="minorHAnsi"/>
                <w:i/>
                <w:iCs/>
              </w:rPr>
            </w:pPr>
            <w:r w:rsidRPr="00520C23">
              <w:rPr>
                <w:rFonts w:cstheme="minorHAnsi"/>
                <w:i/>
                <w:iCs/>
              </w:rPr>
              <w:t>• clear obligations with respect to rehabilitation and remediation, including the provision for the independent assessment of all rehabilitation and remediation; and</w:t>
            </w:r>
          </w:p>
          <w:p w14:paraId="5B0ECF75" w14:textId="4FDD6989" w:rsidR="00472715" w:rsidRPr="00520C23" w:rsidRDefault="00472715" w:rsidP="00472715">
            <w:pPr>
              <w:spacing w:before="120"/>
              <w:rPr>
                <w:rFonts w:cstheme="minorHAnsi"/>
                <w:i/>
                <w:iCs/>
              </w:rPr>
            </w:pPr>
            <w:r w:rsidRPr="00520C23">
              <w:rPr>
                <w:rFonts w:cstheme="minorHAnsi"/>
                <w:i/>
                <w:iCs/>
              </w:rPr>
              <w:t>• the ability to renegotiate the land access agreement after a specified period of time, including post-exploration and pre-production</w:t>
            </w:r>
          </w:p>
        </w:tc>
        <w:tc>
          <w:tcPr>
            <w:tcW w:w="5760" w:type="dxa"/>
            <w:shd w:val="clear" w:color="auto" w:fill="auto"/>
          </w:tcPr>
          <w:p w14:paraId="386FC9D0" w14:textId="77777777" w:rsidR="00472715" w:rsidRPr="00520C23" w:rsidRDefault="00472715" w:rsidP="00472715">
            <w:pPr>
              <w:spacing w:before="120"/>
              <w:rPr>
                <w:rFonts w:cstheme="minorHAnsi"/>
              </w:rPr>
            </w:pPr>
            <w:r w:rsidRPr="00520C23">
              <w:rPr>
                <w:rFonts w:cstheme="minorHAnsi"/>
              </w:rPr>
              <w:lastRenderedPageBreak/>
              <w:t>The </w:t>
            </w:r>
            <w:r w:rsidRPr="00520C23">
              <w:rPr>
                <w:rFonts w:cstheme="minorHAnsi"/>
                <w:i/>
                <w:iCs/>
              </w:rPr>
              <w:t>Petroleum Legislation Miscellaneous Amendments Bill 2019</w:t>
            </w:r>
            <w:r w:rsidRPr="00520C23">
              <w:rPr>
                <w:rFonts w:cstheme="minorHAnsi"/>
              </w:rPr>
              <w:t> was passed in the Legislative Assembly on 24 March 2020 and was assented to on 30 March 2020. The amendments to the Act commenced in June 2020 and allow for regulations to be made in relation to land access.</w:t>
            </w:r>
          </w:p>
          <w:p w14:paraId="339E0CE0" w14:textId="77777777" w:rsidR="00472715" w:rsidRPr="00520C23" w:rsidRDefault="00472715" w:rsidP="00472715">
            <w:pPr>
              <w:spacing w:before="120"/>
              <w:rPr>
                <w:rFonts w:cstheme="minorHAnsi"/>
              </w:rPr>
            </w:pPr>
            <w:r w:rsidRPr="00520C23">
              <w:rPr>
                <w:rFonts w:cstheme="minorHAnsi"/>
              </w:rPr>
              <w:t>The government consulted with affected stakeholders on </w:t>
            </w:r>
            <w:r w:rsidRPr="00520C23">
              <w:rPr>
                <w:rFonts w:cstheme="minorHAnsi"/>
                <w:i/>
                <w:iCs/>
              </w:rPr>
              <w:t>draft Petroleum Regulations</w:t>
            </w:r>
            <w:r w:rsidRPr="00520C23">
              <w:rPr>
                <w:rFonts w:cstheme="minorHAnsi"/>
              </w:rPr>
              <w:t> that detail the requirements of statutory land access agreements. The </w:t>
            </w:r>
            <w:r w:rsidRPr="00520C23">
              <w:rPr>
                <w:rFonts w:cstheme="minorHAnsi"/>
                <w:i/>
                <w:iCs/>
              </w:rPr>
              <w:t>Petroleum Regulations 2020</w:t>
            </w:r>
            <w:r w:rsidRPr="00520C23">
              <w:rPr>
                <w:rFonts w:cstheme="minorHAnsi"/>
              </w:rPr>
              <w:t> have been made by the Administrator and commence 1 January 2021.</w:t>
            </w:r>
          </w:p>
          <w:p w14:paraId="6239AC32" w14:textId="77777777" w:rsidR="00472715" w:rsidRPr="00520C23" w:rsidRDefault="00472715" w:rsidP="00472715">
            <w:pPr>
              <w:spacing w:before="120"/>
              <w:rPr>
                <w:rFonts w:cstheme="minorHAnsi"/>
              </w:rPr>
            </w:pPr>
          </w:p>
        </w:tc>
        <w:tc>
          <w:tcPr>
            <w:tcW w:w="5670" w:type="dxa"/>
            <w:shd w:val="clear" w:color="auto" w:fill="auto"/>
          </w:tcPr>
          <w:p w14:paraId="6039727A" w14:textId="3E557EDA" w:rsidR="00472715" w:rsidRPr="00520C23" w:rsidRDefault="00472715" w:rsidP="00472715">
            <w:pPr>
              <w:spacing w:before="120"/>
              <w:rPr>
                <w:b/>
                <w:bCs/>
              </w:rPr>
            </w:pPr>
            <w:r w:rsidRPr="00520C23">
              <w:rPr>
                <w:b/>
                <w:bCs/>
                <w:i/>
                <w:iCs/>
              </w:rPr>
              <w:t>Petroleum Regulations 2020</w:t>
            </w:r>
            <w:r w:rsidRPr="00520C23">
              <w:rPr>
                <w:b/>
                <w:bCs/>
              </w:rPr>
              <w:t> </w:t>
            </w:r>
          </w:p>
          <w:p w14:paraId="2E102EFE" w14:textId="105D23F7" w:rsidR="00472715" w:rsidRPr="00520C23" w:rsidRDefault="00472715" w:rsidP="00472715">
            <w:pPr>
              <w:spacing w:before="120"/>
              <w:rPr>
                <w:u w:val="single"/>
              </w:rPr>
            </w:pPr>
            <w:r w:rsidRPr="00520C23">
              <w:rPr>
                <w:u w:val="single"/>
              </w:rPr>
              <w:t xml:space="preserve">Division 2 </w:t>
            </w:r>
          </w:p>
          <w:p w14:paraId="3DE79FAA" w14:textId="77777777" w:rsidR="00472715" w:rsidRPr="00520C23" w:rsidRDefault="00472715" w:rsidP="00472715">
            <w:pPr>
              <w:spacing w:before="120"/>
              <w:rPr>
                <w:u w:val="single"/>
              </w:rPr>
            </w:pPr>
            <w:r w:rsidRPr="00520C23">
              <w:rPr>
                <w:u w:val="single"/>
              </w:rPr>
              <w:t xml:space="preserve">Requirement for access agreements </w:t>
            </w:r>
          </w:p>
          <w:p w14:paraId="707809A8" w14:textId="77777777" w:rsidR="00472715" w:rsidRPr="00520C23" w:rsidRDefault="00472715" w:rsidP="00472715">
            <w:pPr>
              <w:spacing w:before="120"/>
              <w:rPr>
                <w:u w:val="single"/>
              </w:rPr>
            </w:pPr>
            <w:r w:rsidRPr="00520C23">
              <w:rPr>
                <w:u w:val="single"/>
              </w:rPr>
              <w:t xml:space="preserve">13 Parties </w:t>
            </w:r>
          </w:p>
          <w:p w14:paraId="31CDC8DA" w14:textId="3E9F1EE0" w:rsidR="00472715" w:rsidRPr="00520C23" w:rsidRDefault="00472715" w:rsidP="00472715">
            <w:pPr>
              <w:pStyle w:val="ListParagraph"/>
              <w:numPr>
                <w:ilvl w:val="0"/>
                <w:numId w:val="87"/>
              </w:numPr>
              <w:spacing w:before="120"/>
              <w:rPr>
                <w:i/>
                <w:iCs/>
              </w:rPr>
            </w:pPr>
            <w:r w:rsidRPr="00520C23">
              <w:rPr>
                <w:i/>
                <w:iCs/>
              </w:rPr>
              <w:t>The parties to an approved access agreement are: (a) the interest holder of the relevant petroleum interest; and (b) the designated person of the relevant land.</w:t>
            </w:r>
          </w:p>
          <w:p w14:paraId="598FDB32" w14:textId="378FDE07" w:rsidR="00472715" w:rsidRPr="00520C23" w:rsidRDefault="00472715" w:rsidP="00472715">
            <w:pPr>
              <w:spacing w:before="120"/>
              <w:rPr>
                <w:rFonts w:cstheme="minorHAnsi"/>
                <w:u w:val="single"/>
              </w:rPr>
            </w:pPr>
            <w:r w:rsidRPr="00520C23">
              <w:rPr>
                <w:rFonts w:cstheme="minorHAnsi"/>
                <w:u w:val="single"/>
              </w:rPr>
              <w:t>Schedule 2 Standard minimum protections</w:t>
            </w:r>
          </w:p>
        </w:tc>
        <w:tc>
          <w:tcPr>
            <w:tcW w:w="5310" w:type="dxa"/>
            <w:shd w:val="clear" w:color="auto" w:fill="E2EFD9" w:themeFill="accent6" w:themeFillTint="33"/>
          </w:tcPr>
          <w:p w14:paraId="4D7825F9" w14:textId="3E26818D" w:rsidR="00472715" w:rsidRPr="00520C23" w:rsidRDefault="00472715" w:rsidP="00472715">
            <w:pPr>
              <w:spacing w:before="120"/>
              <w:rPr>
                <w:rFonts w:cstheme="minorHAnsi"/>
              </w:rPr>
            </w:pPr>
            <w:r w:rsidRPr="00520C23">
              <w:rPr>
                <w:rFonts w:cstheme="minorHAnsi"/>
              </w:rPr>
              <w:t xml:space="preserve">The </w:t>
            </w:r>
            <w:r w:rsidRPr="00520C23">
              <w:rPr>
                <w:rFonts w:cstheme="minorHAnsi"/>
                <w:i/>
                <w:iCs/>
              </w:rPr>
              <w:t>Petroleum Regulations 2020</w:t>
            </w:r>
            <w:r w:rsidRPr="00520C23">
              <w:rPr>
                <w:rFonts w:cstheme="minorHAnsi"/>
              </w:rPr>
              <w:t xml:space="preserve"> adequately address 14.7.</w:t>
            </w:r>
          </w:p>
          <w:p w14:paraId="505885AA" w14:textId="030FD6C2" w:rsidR="00472715" w:rsidRPr="00520C23" w:rsidRDefault="00472715" w:rsidP="00472715">
            <w:pPr>
              <w:spacing w:before="120"/>
              <w:rPr>
                <w:rFonts w:cstheme="minorHAnsi"/>
                <w:i/>
                <w:iCs/>
                <w:u w:val="single"/>
              </w:rPr>
            </w:pPr>
            <w:r w:rsidRPr="00520C23">
              <w:rPr>
                <w:rFonts w:cstheme="minorHAnsi"/>
                <w:i/>
                <w:iCs/>
                <w:u w:val="single"/>
              </w:rPr>
              <w:t>Comments</w:t>
            </w:r>
          </w:p>
          <w:p w14:paraId="78CA3112" w14:textId="54038234" w:rsidR="00472715" w:rsidRPr="00520C23" w:rsidRDefault="00472715" w:rsidP="00472715">
            <w:pPr>
              <w:numPr>
                <w:ilvl w:val="0"/>
                <w:numId w:val="86"/>
              </w:numPr>
              <w:spacing w:before="120"/>
              <w:rPr>
                <w:rFonts w:cstheme="minorHAnsi"/>
              </w:rPr>
            </w:pPr>
            <w:r w:rsidRPr="00520C23">
              <w:rPr>
                <w:rFonts w:cstheme="minorHAnsi"/>
              </w:rPr>
              <w:t>There do not appear to be any provisions specifically about pastoral leases.</w:t>
            </w:r>
          </w:p>
          <w:p w14:paraId="71649E27" w14:textId="2792A514" w:rsidR="00472715" w:rsidRPr="00520C23" w:rsidRDefault="00472715" w:rsidP="00472715">
            <w:pPr>
              <w:numPr>
                <w:ilvl w:val="0"/>
                <w:numId w:val="86"/>
              </w:numPr>
              <w:spacing w:before="120"/>
              <w:rPr>
                <w:rFonts w:cstheme="minorHAnsi"/>
              </w:rPr>
            </w:pPr>
            <w:r w:rsidRPr="00520C23">
              <w:rPr>
                <w:rFonts w:cstheme="minorHAnsi"/>
              </w:rPr>
              <w:t xml:space="preserve">However, the “designated person of the relevant land” presumably refers to pastoralists. </w:t>
            </w:r>
          </w:p>
          <w:p w14:paraId="3FD3BEA4" w14:textId="2FE9672E" w:rsidR="00472715" w:rsidRPr="00520C23" w:rsidRDefault="00472715" w:rsidP="00472715">
            <w:pPr>
              <w:numPr>
                <w:ilvl w:val="0"/>
                <w:numId w:val="86"/>
              </w:numPr>
              <w:spacing w:before="120"/>
              <w:rPr>
                <w:rFonts w:cstheme="minorHAnsi"/>
              </w:rPr>
            </w:pPr>
            <w:r w:rsidRPr="00520C23">
              <w:rPr>
                <w:rFonts w:cstheme="minorHAnsi"/>
              </w:rPr>
              <w:t xml:space="preserve">The Schedule 2 Standard Minimum Protections explicitly include </w:t>
            </w:r>
            <w:r w:rsidR="007473A2" w:rsidRPr="00520C23">
              <w:rPr>
                <w:rFonts w:cstheme="minorHAnsi"/>
              </w:rPr>
              <w:t>all</w:t>
            </w:r>
            <w:r w:rsidRPr="00520C23">
              <w:rPr>
                <w:rFonts w:cstheme="minorHAnsi"/>
              </w:rPr>
              <w:t xml:space="preserve"> the protections called for in the recommendation. </w:t>
            </w:r>
          </w:p>
          <w:p w14:paraId="7ED8EF9E" w14:textId="7F7BDA71" w:rsidR="00472715" w:rsidRPr="00520C23" w:rsidRDefault="00472715" w:rsidP="00472715">
            <w:pPr>
              <w:spacing w:before="120"/>
              <w:rPr>
                <w:rFonts w:cstheme="minorHAnsi"/>
              </w:rPr>
            </w:pPr>
          </w:p>
        </w:tc>
      </w:tr>
      <w:tr w:rsidR="00EA3C33" w:rsidRPr="00520C23" w14:paraId="5AF5608D" w14:textId="77777777" w:rsidTr="00EA3C33">
        <w:tc>
          <w:tcPr>
            <w:tcW w:w="846" w:type="dxa"/>
            <w:shd w:val="clear" w:color="auto" w:fill="auto"/>
          </w:tcPr>
          <w:p w14:paraId="790E3B28" w14:textId="47BAFBC0" w:rsidR="00472715" w:rsidRPr="00520C23" w:rsidRDefault="00472715" w:rsidP="00472715">
            <w:pPr>
              <w:spacing w:before="120"/>
              <w:jc w:val="center"/>
              <w:rPr>
                <w:rFonts w:cstheme="minorHAnsi"/>
              </w:rPr>
            </w:pPr>
            <w:r w:rsidRPr="00520C23">
              <w:rPr>
                <w:rFonts w:cstheme="minorHAnsi"/>
              </w:rPr>
              <w:lastRenderedPageBreak/>
              <w:t>14.8</w:t>
            </w:r>
          </w:p>
        </w:tc>
        <w:tc>
          <w:tcPr>
            <w:tcW w:w="4819" w:type="dxa"/>
            <w:shd w:val="clear" w:color="auto" w:fill="auto"/>
          </w:tcPr>
          <w:p w14:paraId="32006DCF" w14:textId="40184616" w:rsidR="00472715" w:rsidRPr="00520C23" w:rsidRDefault="00472715" w:rsidP="00472715">
            <w:pPr>
              <w:spacing w:before="120"/>
              <w:rPr>
                <w:rFonts w:cstheme="minorHAnsi"/>
                <w:i/>
                <w:iCs/>
              </w:rPr>
            </w:pPr>
            <w:r w:rsidRPr="00520C23">
              <w:rPr>
                <w:rFonts w:cstheme="minorHAnsi"/>
                <w:i/>
                <w:iCs/>
              </w:rPr>
              <w:t>That prior to the grant of any further exploration permits or production approvals, the Government enacts a minimum mandatory compensation scheme payable to Pastoral Lessees for all onshore shale gas production on their Pastoral Lease. Compensation should be calculated by reference to the impact that the development will have on the Pastoral Lease and the Pastoral Lessee, for example, the number of wells drilled, the value of the land (both before and after), and the area of land cleared and rendered unavailable for pastoral activities.</w:t>
            </w:r>
          </w:p>
        </w:tc>
        <w:tc>
          <w:tcPr>
            <w:tcW w:w="5760" w:type="dxa"/>
            <w:shd w:val="clear" w:color="auto" w:fill="auto"/>
          </w:tcPr>
          <w:p w14:paraId="50B347E8" w14:textId="77777777" w:rsidR="00472715" w:rsidRPr="00520C23" w:rsidRDefault="00472715" w:rsidP="00472715">
            <w:pPr>
              <w:spacing w:before="120"/>
              <w:rPr>
                <w:rFonts w:cstheme="minorHAnsi"/>
              </w:rPr>
            </w:pPr>
            <w:r w:rsidRPr="00520C23">
              <w:rPr>
                <w:rFonts w:cstheme="minorHAnsi"/>
              </w:rPr>
              <w:t>The </w:t>
            </w:r>
            <w:r w:rsidRPr="00520C23">
              <w:rPr>
                <w:rFonts w:cstheme="minorHAnsi"/>
                <w:i/>
                <w:iCs/>
              </w:rPr>
              <w:t>Petroleum Legislation Miscellaneous Amendments Bill 2019</w:t>
            </w:r>
            <w:r w:rsidRPr="00520C23">
              <w:rPr>
                <w:rFonts w:cstheme="minorHAnsi"/>
              </w:rPr>
              <w:t> was passed in the Legislative Assembly on 24 March 2020 and was assented to on 30 March 2020. The amendments to the Act commenced in June 2020 and allow for regulations to be made in relation to land access.</w:t>
            </w:r>
          </w:p>
          <w:p w14:paraId="08DA6C59" w14:textId="77777777" w:rsidR="00472715" w:rsidRPr="00520C23" w:rsidRDefault="00472715" w:rsidP="00472715">
            <w:pPr>
              <w:spacing w:before="120"/>
              <w:rPr>
                <w:rFonts w:cstheme="minorHAnsi"/>
              </w:rPr>
            </w:pPr>
            <w:r w:rsidRPr="00520C23">
              <w:rPr>
                <w:rFonts w:cstheme="minorHAnsi"/>
              </w:rPr>
              <w:t>The government consulted with affected stakeholders on </w:t>
            </w:r>
            <w:r w:rsidRPr="00520C23">
              <w:rPr>
                <w:rFonts w:cstheme="minorHAnsi"/>
                <w:i/>
                <w:iCs/>
              </w:rPr>
              <w:t>draft Petroleum Regulations</w:t>
            </w:r>
            <w:r w:rsidRPr="00520C23">
              <w:rPr>
                <w:rFonts w:cstheme="minorHAnsi"/>
              </w:rPr>
              <w:t> that detail the requirements of statutory land access agreements. The </w:t>
            </w:r>
            <w:r w:rsidRPr="00520C23">
              <w:rPr>
                <w:rFonts w:cstheme="minorHAnsi"/>
                <w:i/>
                <w:iCs/>
              </w:rPr>
              <w:t>Petroleum Regulations 2020</w:t>
            </w:r>
            <w:r w:rsidRPr="00520C23">
              <w:rPr>
                <w:rFonts w:cstheme="minorHAnsi"/>
              </w:rPr>
              <w:t> have been made by the Administrator and commence 1 January 2021.</w:t>
            </w:r>
          </w:p>
          <w:p w14:paraId="558176D7" w14:textId="77777777" w:rsidR="00472715" w:rsidRPr="00520C23" w:rsidRDefault="00472715" w:rsidP="00472715">
            <w:pPr>
              <w:spacing w:before="120"/>
              <w:rPr>
                <w:rFonts w:cstheme="minorHAnsi"/>
              </w:rPr>
            </w:pPr>
          </w:p>
        </w:tc>
        <w:tc>
          <w:tcPr>
            <w:tcW w:w="5670" w:type="dxa"/>
            <w:shd w:val="clear" w:color="auto" w:fill="auto"/>
          </w:tcPr>
          <w:p w14:paraId="002FA081" w14:textId="77777777" w:rsidR="00472715" w:rsidRPr="00520C23" w:rsidRDefault="00472715" w:rsidP="00472715">
            <w:pPr>
              <w:spacing w:before="120"/>
              <w:rPr>
                <w:rFonts w:cstheme="minorHAnsi"/>
                <w:b/>
                <w:bCs/>
                <w:i/>
                <w:iCs/>
              </w:rPr>
            </w:pPr>
            <w:r w:rsidRPr="00520C23">
              <w:rPr>
                <w:rFonts w:cstheme="minorHAnsi"/>
                <w:b/>
                <w:bCs/>
                <w:i/>
                <w:iCs/>
              </w:rPr>
              <w:t>Petroleum Regulations 2020</w:t>
            </w:r>
          </w:p>
          <w:p w14:paraId="03ED3819" w14:textId="589250B9" w:rsidR="00472715" w:rsidRPr="00520C23" w:rsidRDefault="00472715" w:rsidP="00472715">
            <w:pPr>
              <w:spacing w:before="120"/>
              <w:rPr>
                <w:rFonts w:cstheme="minorHAnsi"/>
                <w:u w:val="single"/>
              </w:rPr>
            </w:pPr>
            <w:r w:rsidRPr="00520C23">
              <w:rPr>
                <w:rFonts w:cstheme="minorHAnsi"/>
                <w:u w:val="single"/>
              </w:rPr>
              <w:t xml:space="preserve">Part 3 Compensation </w:t>
            </w:r>
          </w:p>
          <w:p w14:paraId="62330F84" w14:textId="77777777" w:rsidR="00472715" w:rsidRPr="00520C23" w:rsidRDefault="00472715" w:rsidP="00472715">
            <w:pPr>
              <w:spacing w:before="120"/>
              <w:rPr>
                <w:rFonts w:cstheme="minorHAnsi"/>
                <w:u w:val="single"/>
              </w:rPr>
            </w:pPr>
            <w:r w:rsidRPr="00520C23">
              <w:rPr>
                <w:rFonts w:cstheme="minorHAnsi"/>
                <w:u w:val="single"/>
              </w:rPr>
              <w:t>6 Compensation to owners</w:t>
            </w:r>
          </w:p>
          <w:p w14:paraId="4ACAC4C8" w14:textId="6AE97E08" w:rsidR="00472715" w:rsidRPr="00520C23" w:rsidRDefault="00472715" w:rsidP="00472715">
            <w:pPr>
              <w:pStyle w:val="ListParagraph"/>
              <w:numPr>
                <w:ilvl w:val="0"/>
                <w:numId w:val="63"/>
              </w:numPr>
              <w:spacing w:before="120"/>
              <w:rPr>
                <w:rFonts w:cstheme="minorHAnsi"/>
                <w:i/>
                <w:iCs/>
              </w:rPr>
            </w:pPr>
            <w:r w:rsidRPr="00520C23">
              <w:rPr>
                <w:rFonts w:cstheme="minorHAnsi"/>
                <w:i/>
                <w:iCs/>
              </w:rPr>
              <w:t>For section 81(1)(c) of the Act, the following circumstances are prescribed:</w:t>
            </w:r>
          </w:p>
          <w:p w14:paraId="7B80164A" w14:textId="1EBC17A9" w:rsidR="00472715" w:rsidRPr="00520C23" w:rsidRDefault="00472715" w:rsidP="00472715">
            <w:pPr>
              <w:pStyle w:val="ListParagraph"/>
              <w:numPr>
                <w:ilvl w:val="0"/>
                <w:numId w:val="64"/>
              </w:numPr>
              <w:spacing w:before="120"/>
              <w:rPr>
                <w:rFonts w:cstheme="minorHAnsi"/>
                <w:i/>
                <w:iCs/>
              </w:rPr>
            </w:pPr>
            <w:r w:rsidRPr="00520C23">
              <w:rPr>
                <w:rFonts w:cstheme="minorHAnsi"/>
                <w:i/>
                <w:iCs/>
              </w:rPr>
              <w:t>the drilling of a well on the land by the interest holder;</w:t>
            </w:r>
          </w:p>
          <w:p w14:paraId="78267D71" w14:textId="7EC0AD43" w:rsidR="00472715" w:rsidRPr="00520C23" w:rsidRDefault="00472715" w:rsidP="00472715">
            <w:pPr>
              <w:pStyle w:val="ListParagraph"/>
              <w:numPr>
                <w:ilvl w:val="0"/>
                <w:numId w:val="64"/>
              </w:numPr>
              <w:spacing w:before="120"/>
              <w:rPr>
                <w:rFonts w:cstheme="minorHAnsi"/>
                <w:i/>
                <w:iCs/>
              </w:rPr>
            </w:pPr>
            <w:r w:rsidRPr="00520C23">
              <w:rPr>
                <w:rFonts w:cstheme="minorHAnsi"/>
                <w:i/>
                <w:iCs/>
              </w:rPr>
              <w:t>to the extent of an owner's or occupier's respective interests in the land – any decrease in the market value of the land caused by regulated operations carried out on the land by the interest holder.</w:t>
            </w:r>
          </w:p>
          <w:p w14:paraId="0B6876B2" w14:textId="4088E1D3" w:rsidR="00472715" w:rsidRPr="00520C23" w:rsidRDefault="00472715" w:rsidP="00472715">
            <w:pPr>
              <w:pStyle w:val="ListParagraph"/>
              <w:numPr>
                <w:ilvl w:val="0"/>
                <w:numId w:val="31"/>
              </w:numPr>
              <w:spacing w:before="120"/>
              <w:rPr>
                <w:rFonts w:cstheme="minorHAnsi"/>
                <w:i/>
                <w:iCs/>
              </w:rPr>
            </w:pPr>
            <w:r w:rsidRPr="00520C23">
              <w:rPr>
                <w:rFonts w:cstheme="minorHAnsi"/>
                <w:i/>
                <w:iCs/>
              </w:rPr>
              <w:t>For section 81(7A) of the Act:</w:t>
            </w:r>
          </w:p>
          <w:p w14:paraId="6A8140E4" w14:textId="1BFB6DB0" w:rsidR="00472715" w:rsidRPr="00520C23" w:rsidRDefault="00472715" w:rsidP="00472715">
            <w:pPr>
              <w:pStyle w:val="ListParagraph"/>
              <w:numPr>
                <w:ilvl w:val="0"/>
                <w:numId w:val="65"/>
              </w:numPr>
              <w:spacing w:before="120"/>
              <w:rPr>
                <w:rFonts w:cstheme="minorHAnsi"/>
                <w:i/>
                <w:iCs/>
              </w:rPr>
            </w:pPr>
            <w:r w:rsidRPr="00520C23">
              <w:rPr>
                <w:rFonts w:cstheme="minorHAnsi"/>
                <w:i/>
                <w:iCs/>
              </w:rPr>
              <w:t>the compensation payable under subregulation (1)(a) may be:</w:t>
            </w:r>
          </w:p>
          <w:p w14:paraId="23682A17" w14:textId="6E237158" w:rsidR="00472715" w:rsidRPr="00520C23" w:rsidRDefault="00472715" w:rsidP="00472715">
            <w:pPr>
              <w:pStyle w:val="ListParagraph"/>
              <w:numPr>
                <w:ilvl w:val="0"/>
                <w:numId w:val="66"/>
              </w:numPr>
              <w:spacing w:before="120"/>
              <w:ind w:left="1151" w:hanging="360"/>
              <w:rPr>
                <w:rFonts w:cstheme="minorHAnsi"/>
                <w:i/>
                <w:iCs/>
              </w:rPr>
            </w:pPr>
            <w:r w:rsidRPr="00520C23">
              <w:rPr>
                <w:rFonts w:cstheme="minorHAnsi"/>
                <w:i/>
                <w:iCs/>
              </w:rPr>
              <w:t>an amount for each well; or</w:t>
            </w:r>
          </w:p>
          <w:p w14:paraId="0B75276C" w14:textId="19DEB5E4" w:rsidR="00472715" w:rsidRPr="00520C23" w:rsidRDefault="00472715" w:rsidP="00472715">
            <w:pPr>
              <w:pStyle w:val="ListParagraph"/>
              <w:numPr>
                <w:ilvl w:val="0"/>
                <w:numId w:val="66"/>
              </w:numPr>
              <w:spacing w:before="120"/>
              <w:ind w:left="1151" w:hanging="360"/>
              <w:rPr>
                <w:rFonts w:cstheme="minorHAnsi"/>
                <w:i/>
                <w:iCs/>
              </w:rPr>
            </w:pPr>
            <w:r w:rsidRPr="00520C23">
              <w:rPr>
                <w:rFonts w:cstheme="minorHAnsi"/>
                <w:i/>
                <w:iCs/>
              </w:rPr>
              <w:t xml:space="preserve">an amount represented by improvements or work on the land provided or carried out by the interest holder; and </w:t>
            </w:r>
          </w:p>
          <w:p w14:paraId="4628B0C5" w14:textId="6A4F0A12" w:rsidR="00472715" w:rsidRPr="00520C23" w:rsidRDefault="00472715" w:rsidP="00472715">
            <w:pPr>
              <w:pStyle w:val="ListParagraph"/>
              <w:numPr>
                <w:ilvl w:val="0"/>
                <w:numId w:val="65"/>
              </w:numPr>
              <w:spacing w:before="120"/>
              <w:rPr>
                <w:rFonts w:cstheme="minorHAnsi"/>
                <w:i/>
                <w:iCs/>
              </w:rPr>
            </w:pPr>
            <w:r w:rsidRPr="00520C23">
              <w:rPr>
                <w:rFonts w:cstheme="minorHAnsi"/>
                <w:i/>
                <w:iCs/>
              </w:rPr>
              <w:t>the compensation payable under subregulation (1)(b) may be:</w:t>
            </w:r>
          </w:p>
          <w:p w14:paraId="332C9E13" w14:textId="07DEC0E9" w:rsidR="00472715" w:rsidRPr="00520C23" w:rsidRDefault="00472715" w:rsidP="00472715">
            <w:pPr>
              <w:pStyle w:val="ListParagraph"/>
              <w:numPr>
                <w:ilvl w:val="0"/>
                <w:numId w:val="67"/>
              </w:numPr>
              <w:spacing w:before="120"/>
              <w:ind w:left="1151"/>
              <w:rPr>
                <w:rFonts w:cstheme="minorHAnsi"/>
                <w:i/>
                <w:iCs/>
              </w:rPr>
            </w:pPr>
            <w:r w:rsidRPr="00520C23">
              <w:rPr>
                <w:rFonts w:cstheme="minorHAnsi"/>
                <w:i/>
                <w:iCs/>
              </w:rPr>
              <w:t>an amount equal to the decrease in market value of the owner's or occupier's interest in the land (as the case may be); or</w:t>
            </w:r>
          </w:p>
          <w:p w14:paraId="72409ED4" w14:textId="339A0FF4" w:rsidR="00472715" w:rsidRPr="00520C23" w:rsidRDefault="00472715" w:rsidP="00472715">
            <w:pPr>
              <w:pStyle w:val="ListParagraph"/>
              <w:numPr>
                <w:ilvl w:val="0"/>
                <w:numId w:val="67"/>
              </w:numPr>
              <w:spacing w:before="120"/>
              <w:ind w:left="1151"/>
              <w:rPr>
                <w:rFonts w:cstheme="minorHAnsi"/>
                <w:i/>
                <w:iCs/>
              </w:rPr>
            </w:pPr>
            <w:r w:rsidRPr="00520C23">
              <w:rPr>
                <w:rFonts w:cstheme="minorHAnsi"/>
                <w:i/>
                <w:iCs/>
              </w:rPr>
              <w:t>an amount represented by improvements or work on the land provided or carried out by the interest holder.</w:t>
            </w:r>
          </w:p>
          <w:p w14:paraId="72383E17" w14:textId="77777777" w:rsidR="00472715" w:rsidRPr="00520C23" w:rsidRDefault="00472715" w:rsidP="00472715">
            <w:pPr>
              <w:pStyle w:val="ListParagraph"/>
              <w:numPr>
                <w:ilvl w:val="0"/>
                <w:numId w:val="31"/>
              </w:numPr>
              <w:spacing w:before="120"/>
              <w:rPr>
                <w:rFonts w:cstheme="minorHAnsi"/>
                <w:i/>
                <w:iCs/>
              </w:rPr>
            </w:pPr>
            <w:r w:rsidRPr="00520C23">
              <w:rPr>
                <w:rFonts w:cstheme="minorHAnsi"/>
                <w:i/>
                <w:iCs/>
              </w:rPr>
              <w:t xml:space="preserve">The method of compensation under subregulation (2)(a) or (b) will be determined by agreement between the parties or, if they are unable to agree, by the Tribunal. </w:t>
            </w:r>
          </w:p>
          <w:p w14:paraId="41152520" w14:textId="77777777" w:rsidR="00472715" w:rsidRPr="00520C23" w:rsidRDefault="00472715" w:rsidP="00472715">
            <w:pPr>
              <w:spacing w:before="120"/>
              <w:rPr>
                <w:rFonts w:cstheme="minorHAnsi"/>
              </w:rPr>
            </w:pPr>
          </w:p>
          <w:p w14:paraId="537CDA48" w14:textId="77777777" w:rsidR="00472715" w:rsidRPr="00520C23" w:rsidRDefault="00472715" w:rsidP="00472715">
            <w:pPr>
              <w:spacing w:before="120"/>
              <w:rPr>
                <w:rFonts w:cstheme="minorHAnsi"/>
                <w:u w:val="single"/>
              </w:rPr>
            </w:pPr>
            <w:r w:rsidRPr="00520C23">
              <w:rPr>
                <w:rFonts w:cstheme="minorHAnsi"/>
                <w:u w:val="single"/>
              </w:rPr>
              <w:t>Schedule 2</w:t>
            </w:r>
          </w:p>
          <w:p w14:paraId="2FEE01BE" w14:textId="77777777" w:rsidR="00472715" w:rsidRPr="00520C23" w:rsidRDefault="00472715" w:rsidP="00472715">
            <w:pPr>
              <w:spacing w:before="120"/>
              <w:rPr>
                <w:rFonts w:cstheme="minorHAnsi"/>
                <w:i/>
                <w:iCs/>
              </w:rPr>
            </w:pPr>
            <w:r w:rsidRPr="00520C23">
              <w:rPr>
                <w:rFonts w:cstheme="minorHAnsi"/>
                <w:i/>
                <w:iCs/>
              </w:rPr>
              <w:t>(12) Compensation for drilling</w:t>
            </w:r>
          </w:p>
          <w:p w14:paraId="2766DCF3" w14:textId="77777777" w:rsidR="00472715" w:rsidRPr="00520C23" w:rsidRDefault="00472715" w:rsidP="00472715">
            <w:pPr>
              <w:spacing w:before="120"/>
              <w:rPr>
                <w:rFonts w:cstheme="minorHAnsi"/>
                <w:i/>
                <w:iCs/>
              </w:rPr>
            </w:pPr>
            <w:r w:rsidRPr="00520C23">
              <w:rPr>
                <w:rFonts w:cstheme="minorHAnsi"/>
                <w:i/>
                <w:iCs/>
              </w:rPr>
              <w:t>(13) Compensation for decrease in value of land</w:t>
            </w:r>
          </w:p>
          <w:p w14:paraId="62B8EB5F" w14:textId="0DF168EA" w:rsidR="00472715" w:rsidRPr="00520C23" w:rsidRDefault="00472715" w:rsidP="00472715">
            <w:pPr>
              <w:spacing w:before="120"/>
              <w:rPr>
                <w:rFonts w:cstheme="minorHAnsi"/>
              </w:rPr>
            </w:pPr>
            <w:r w:rsidRPr="00520C23">
              <w:rPr>
                <w:rFonts w:cstheme="minorHAnsi"/>
                <w:i/>
                <w:iCs/>
              </w:rPr>
              <w:t>(14) General obligation to make good</w:t>
            </w:r>
          </w:p>
        </w:tc>
        <w:tc>
          <w:tcPr>
            <w:tcW w:w="5310" w:type="dxa"/>
            <w:shd w:val="clear" w:color="auto" w:fill="E2EFD9" w:themeFill="accent6" w:themeFillTint="33"/>
          </w:tcPr>
          <w:p w14:paraId="0491A92F" w14:textId="127D1CFE" w:rsidR="00472715" w:rsidRPr="00520C23" w:rsidRDefault="00472715" w:rsidP="00472715">
            <w:pPr>
              <w:spacing w:before="120"/>
              <w:rPr>
                <w:rFonts w:cstheme="minorHAnsi"/>
              </w:rPr>
            </w:pPr>
            <w:r w:rsidRPr="00520C23">
              <w:rPr>
                <w:rFonts w:cstheme="minorHAnsi"/>
              </w:rPr>
              <w:t xml:space="preserve">The </w:t>
            </w:r>
            <w:r w:rsidRPr="00520C23">
              <w:rPr>
                <w:rFonts w:cstheme="minorHAnsi"/>
                <w:i/>
                <w:iCs/>
              </w:rPr>
              <w:t>Petroleum Regulations 2020</w:t>
            </w:r>
            <w:r w:rsidRPr="00520C23">
              <w:rPr>
                <w:rFonts w:cstheme="minorHAnsi"/>
              </w:rPr>
              <w:t xml:space="preserve"> adequately address recommendation 14.8.</w:t>
            </w:r>
          </w:p>
          <w:p w14:paraId="6E127D15" w14:textId="768563EE" w:rsidR="00472715" w:rsidRPr="00520C23" w:rsidRDefault="00472715" w:rsidP="00472715">
            <w:pPr>
              <w:spacing w:before="120"/>
              <w:rPr>
                <w:rFonts w:cstheme="minorHAnsi"/>
                <w:i/>
                <w:iCs/>
                <w:u w:val="single"/>
              </w:rPr>
            </w:pPr>
            <w:r w:rsidRPr="00520C23">
              <w:rPr>
                <w:rFonts w:cstheme="minorHAnsi"/>
                <w:i/>
                <w:iCs/>
                <w:u w:val="single"/>
              </w:rPr>
              <w:t>Comments</w:t>
            </w:r>
          </w:p>
          <w:p w14:paraId="6B2A9079" w14:textId="101986D7" w:rsidR="00472715" w:rsidRPr="00520C23" w:rsidRDefault="00472715" w:rsidP="00472715">
            <w:pPr>
              <w:pStyle w:val="ListParagraph"/>
              <w:numPr>
                <w:ilvl w:val="0"/>
                <w:numId w:val="86"/>
              </w:numPr>
              <w:spacing w:before="120"/>
              <w:rPr>
                <w:rFonts w:cstheme="minorHAnsi"/>
              </w:rPr>
            </w:pPr>
            <w:r w:rsidRPr="00520C23">
              <w:rPr>
                <w:rFonts w:cstheme="minorHAnsi"/>
              </w:rPr>
              <w:t>There do not appear to be any provisions specifically about pastoral leases, but the Petroleum Regulations 2020 do provide for compensation to landowners in general based on the impact the development will have on the land.</w:t>
            </w:r>
          </w:p>
        </w:tc>
      </w:tr>
      <w:tr w:rsidR="00EA3C33" w:rsidRPr="00520C23" w14:paraId="695DC6B1" w14:textId="77777777" w:rsidTr="00EA3C33">
        <w:tc>
          <w:tcPr>
            <w:tcW w:w="846" w:type="dxa"/>
            <w:shd w:val="clear" w:color="auto" w:fill="auto"/>
          </w:tcPr>
          <w:p w14:paraId="1D38F56B" w14:textId="47C9AFAC" w:rsidR="00472715" w:rsidRPr="00520C23" w:rsidRDefault="00472715" w:rsidP="00472715">
            <w:pPr>
              <w:spacing w:before="120"/>
              <w:jc w:val="center"/>
              <w:rPr>
                <w:rFonts w:cstheme="minorHAnsi"/>
              </w:rPr>
            </w:pPr>
            <w:r>
              <w:rPr>
                <w:rFonts w:cstheme="minorHAnsi"/>
              </w:rPr>
              <w:t>14.9</w:t>
            </w:r>
          </w:p>
        </w:tc>
        <w:tc>
          <w:tcPr>
            <w:tcW w:w="4819" w:type="dxa"/>
            <w:shd w:val="clear" w:color="auto" w:fill="auto"/>
          </w:tcPr>
          <w:p w14:paraId="2D2BC37E" w14:textId="7BCB73BC" w:rsidR="00472715" w:rsidRPr="00520C23" w:rsidRDefault="00472715" w:rsidP="00472715">
            <w:pPr>
              <w:spacing w:before="120"/>
              <w:rPr>
                <w:rFonts w:cstheme="minorHAnsi"/>
                <w:i/>
                <w:iCs/>
              </w:rPr>
            </w:pPr>
            <w:r w:rsidRPr="00B93D46">
              <w:rPr>
                <w:rFonts w:cstheme="minorHAnsi"/>
                <w:i/>
                <w:iCs/>
              </w:rPr>
              <w:t>That the Government considers whether a royalty payment scheme should be implemented to compensate Pastoral Lessees prior to any further production approvals being granted.</w:t>
            </w:r>
          </w:p>
        </w:tc>
        <w:tc>
          <w:tcPr>
            <w:tcW w:w="5760" w:type="dxa"/>
            <w:shd w:val="clear" w:color="auto" w:fill="auto"/>
          </w:tcPr>
          <w:p w14:paraId="5F7EBA86" w14:textId="77777777" w:rsidR="00472715" w:rsidRPr="00B93D46" w:rsidRDefault="00472715" w:rsidP="00472715">
            <w:pPr>
              <w:spacing w:before="120"/>
              <w:rPr>
                <w:rFonts w:cstheme="minorHAnsi"/>
                <w:lang w:val="en-US"/>
              </w:rPr>
            </w:pPr>
            <w:r w:rsidRPr="00B93D46">
              <w:rPr>
                <w:rFonts w:cstheme="minorHAnsi"/>
                <w:lang w:val="en-US"/>
              </w:rPr>
              <w:t>In January 2021, Government introduced statutory land access agreements and a minimum mandatory compensation scheme designed to compensate pastoral lessees for the drilling of a well and any decrease in the market value of land caused by petroleum activities.</w:t>
            </w:r>
          </w:p>
          <w:p w14:paraId="1BC682D8" w14:textId="77777777" w:rsidR="00472715" w:rsidRPr="00B93D46" w:rsidRDefault="00472715" w:rsidP="00472715">
            <w:pPr>
              <w:spacing w:before="120"/>
              <w:rPr>
                <w:rFonts w:cstheme="minorHAnsi"/>
                <w:lang w:val="en-US"/>
              </w:rPr>
            </w:pPr>
            <w:r w:rsidRPr="00B93D46">
              <w:rPr>
                <w:rFonts w:cstheme="minorHAnsi"/>
                <w:lang w:val="en-US"/>
              </w:rPr>
              <w:t>Given the mechanisms already introduced, government has decided not to introduce a royalty payment scheme for pastoralists.</w:t>
            </w:r>
          </w:p>
          <w:p w14:paraId="02F78667" w14:textId="77777777" w:rsidR="00472715" w:rsidRPr="00B93D46" w:rsidRDefault="00472715" w:rsidP="00472715">
            <w:pPr>
              <w:spacing w:before="120"/>
              <w:rPr>
                <w:rFonts w:cstheme="minorHAnsi"/>
                <w:lang w:val="en-US"/>
              </w:rPr>
            </w:pPr>
          </w:p>
        </w:tc>
        <w:tc>
          <w:tcPr>
            <w:tcW w:w="5670" w:type="dxa"/>
            <w:shd w:val="clear" w:color="auto" w:fill="auto"/>
          </w:tcPr>
          <w:p w14:paraId="6CEBD7C9" w14:textId="77777777" w:rsidR="00472715" w:rsidRPr="00520C23" w:rsidRDefault="00472715" w:rsidP="00472715">
            <w:pPr>
              <w:spacing w:before="120"/>
              <w:rPr>
                <w:rFonts w:cstheme="minorHAnsi"/>
                <w:b/>
                <w:bCs/>
                <w:i/>
                <w:iCs/>
              </w:rPr>
            </w:pPr>
          </w:p>
        </w:tc>
        <w:tc>
          <w:tcPr>
            <w:tcW w:w="5310" w:type="dxa"/>
            <w:shd w:val="clear" w:color="auto" w:fill="E2EFD9" w:themeFill="accent6" w:themeFillTint="33"/>
          </w:tcPr>
          <w:p w14:paraId="2EC226F8" w14:textId="38CF6E82" w:rsidR="00472715" w:rsidRPr="00520C23" w:rsidRDefault="00472715" w:rsidP="00472715">
            <w:pPr>
              <w:spacing w:before="120"/>
              <w:rPr>
                <w:rFonts w:cstheme="minorHAnsi"/>
              </w:rPr>
            </w:pPr>
            <w:r>
              <w:rPr>
                <w:rFonts w:cstheme="minorHAnsi"/>
              </w:rPr>
              <w:t xml:space="preserve">This recommendation has likely been </w:t>
            </w:r>
            <w:r w:rsidR="00E01D52">
              <w:rPr>
                <w:rFonts w:cstheme="minorHAnsi"/>
              </w:rPr>
              <w:t xml:space="preserve">fully </w:t>
            </w:r>
            <w:r>
              <w:rPr>
                <w:rFonts w:cstheme="minorHAnsi"/>
              </w:rPr>
              <w:t xml:space="preserve">implemented. The language of this recommendation only requires the government to “consider[]” whether a royalty payment scheme should be implemented, and the government has introduced other measures to compensate pastoral lessees. </w:t>
            </w:r>
          </w:p>
        </w:tc>
      </w:tr>
      <w:tr w:rsidR="00EA3C33" w:rsidRPr="00520C23" w14:paraId="6FB405D6" w14:textId="77777777" w:rsidTr="00EA3C33">
        <w:tc>
          <w:tcPr>
            <w:tcW w:w="846" w:type="dxa"/>
            <w:shd w:val="clear" w:color="auto" w:fill="auto"/>
          </w:tcPr>
          <w:p w14:paraId="7F225ADA" w14:textId="15742336" w:rsidR="00472715" w:rsidRPr="00520C23" w:rsidRDefault="00472715" w:rsidP="00472715">
            <w:pPr>
              <w:spacing w:before="120"/>
              <w:jc w:val="center"/>
              <w:rPr>
                <w:rFonts w:cstheme="minorHAnsi"/>
              </w:rPr>
            </w:pPr>
            <w:r w:rsidRPr="00520C23">
              <w:rPr>
                <w:rFonts w:cstheme="minorHAnsi"/>
              </w:rPr>
              <w:t>14.10</w:t>
            </w:r>
          </w:p>
        </w:tc>
        <w:tc>
          <w:tcPr>
            <w:tcW w:w="4819" w:type="dxa"/>
            <w:shd w:val="clear" w:color="auto" w:fill="auto"/>
          </w:tcPr>
          <w:p w14:paraId="464EA3EA" w14:textId="77777777" w:rsidR="00472715" w:rsidRPr="00520C23" w:rsidRDefault="00472715" w:rsidP="00472715">
            <w:pPr>
              <w:spacing w:before="120"/>
              <w:rPr>
                <w:rFonts w:cstheme="minorHAnsi"/>
                <w:i/>
                <w:iCs/>
              </w:rPr>
            </w:pPr>
            <w:r w:rsidRPr="00520C23">
              <w:rPr>
                <w:rFonts w:cstheme="minorHAnsi"/>
                <w:i/>
                <w:iCs/>
              </w:rPr>
              <w:t>That any person may lodge an objection to the proposed grant of an exploration permit within a prescribed time limit.</w:t>
            </w:r>
          </w:p>
          <w:p w14:paraId="51F30F30" w14:textId="77777777" w:rsidR="00472715" w:rsidRPr="00520C23" w:rsidRDefault="00472715" w:rsidP="00472715">
            <w:pPr>
              <w:spacing w:before="120"/>
              <w:rPr>
                <w:rFonts w:cstheme="minorHAnsi"/>
                <w:i/>
                <w:iCs/>
              </w:rPr>
            </w:pPr>
            <w:r w:rsidRPr="00520C23">
              <w:rPr>
                <w:rFonts w:cstheme="minorHAnsi"/>
                <w:i/>
                <w:iCs/>
              </w:rPr>
              <w:lastRenderedPageBreak/>
              <w:t>That all objections received by the Minister must be published online. That the Minister must, in determining whether to grant or refuse the application, take into account any objection received.</w:t>
            </w:r>
          </w:p>
          <w:p w14:paraId="64046197" w14:textId="77777777" w:rsidR="00472715" w:rsidRPr="00520C23" w:rsidRDefault="00472715" w:rsidP="00472715">
            <w:pPr>
              <w:spacing w:before="120"/>
              <w:rPr>
                <w:rFonts w:cstheme="minorHAnsi"/>
                <w:i/>
                <w:iCs/>
              </w:rPr>
            </w:pPr>
          </w:p>
        </w:tc>
        <w:tc>
          <w:tcPr>
            <w:tcW w:w="5760" w:type="dxa"/>
            <w:shd w:val="clear" w:color="auto" w:fill="auto"/>
          </w:tcPr>
          <w:p w14:paraId="1A169D5C" w14:textId="2AB16E3F" w:rsidR="00472715" w:rsidRPr="00520C23" w:rsidRDefault="00472715" w:rsidP="00472715">
            <w:pPr>
              <w:spacing w:before="120"/>
              <w:rPr>
                <w:rFonts w:cstheme="minorHAnsi"/>
              </w:rPr>
            </w:pPr>
            <w:r w:rsidRPr="00520C23">
              <w:rPr>
                <w:rFonts w:cstheme="minorHAnsi"/>
              </w:rPr>
              <w:lastRenderedPageBreak/>
              <w:t>The </w:t>
            </w:r>
            <w:r w:rsidRPr="00520C23">
              <w:rPr>
                <w:rFonts w:cstheme="minorHAnsi"/>
                <w:i/>
                <w:iCs/>
              </w:rPr>
              <w:t>Petroleum Legislation Miscellaneous Amendments Bill 2019 </w:t>
            </w:r>
            <w:r w:rsidRPr="00520C23">
              <w:rPr>
                <w:rFonts w:cstheme="minorHAnsi"/>
              </w:rPr>
              <w:t>was passed in the Legislative Assembly on 24 March 2020 and assented to on 30 March 2020. The </w:t>
            </w:r>
            <w:r w:rsidRPr="00520C23">
              <w:rPr>
                <w:rFonts w:cstheme="minorHAnsi"/>
                <w:i/>
                <w:iCs/>
              </w:rPr>
              <w:t xml:space="preserve">Petroleum Act </w:t>
            </w:r>
            <w:r w:rsidRPr="00520C23">
              <w:rPr>
                <w:rFonts w:cstheme="minorHAnsi"/>
                <w:i/>
                <w:iCs/>
              </w:rPr>
              <w:lastRenderedPageBreak/>
              <w:t>1984</w:t>
            </w:r>
            <w:r w:rsidRPr="00520C23">
              <w:rPr>
                <w:rFonts w:cstheme="minorHAnsi"/>
              </w:rPr>
              <w:t> was amended to allow any person to lodge an objection to the proposed grant of an exploration permit and for those objections to be published online.</w:t>
            </w:r>
          </w:p>
          <w:p w14:paraId="709FA0A5" w14:textId="5645345C" w:rsidR="00472715" w:rsidRPr="00520C23" w:rsidRDefault="00472715" w:rsidP="00472715">
            <w:pPr>
              <w:spacing w:before="120"/>
              <w:rPr>
                <w:rFonts w:cstheme="minorHAnsi"/>
              </w:rPr>
            </w:pPr>
            <w:r w:rsidRPr="00520C23">
              <w:rPr>
                <w:rFonts w:cstheme="minorHAnsi"/>
              </w:rPr>
              <w:t>The amendments to the Act will commence in June 2020.</w:t>
            </w:r>
          </w:p>
          <w:p w14:paraId="1720DC90" w14:textId="77777777" w:rsidR="00472715" w:rsidRPr="00520C23" w:rsidRDefault="00472715" w:rsidP="00472715">
            <w:pPr>
              <w:spacing w:before="120"/>
              <w:rPr>
                <w:rFonts w:cstheme="minorHAnsi"/>
              </w:rPr>
            </w:pPr>
          </w:p>
        </w:tc>
        <w:tc>
          <w:tcPr>
            <w:tcW w:w="5670" w:type="dxa"/>
            <w:shd w:val="clear" w:color="auto" w:fill="auto"/>
          </w:tcPr>
          <w:p w14:paraId="66F7FE38" w14:textId="77777777" w:rsidR="00472715" w:rsidRPr="00520C23" w:rsidRDefault="00472715" w:rsidP="00472715">
            <w:pPr>
              <w:spacing w:before="120"/>
              <w:rPr>
                <w:rFonts w:cstheme="minorHAnsi"/>
                <w:b/>
                <w:bCs/>
                <w:i/>
                <w:iCs/>
              </w:rPr>
            </w:pPr>
            <w:r w:rsidRPr="00520C23">
              <w:rPr>
                <w:rFonts w:cstheme="minorHAnsi"/>
                <w:b/>
                <w:bCs/>
                <w:i/>
                <w:iCs/>
              </w:rPr>
              <w:lastRenderedPageBreak/>
              <w:t>Petroleum Act 1984</w:t>
            </w:r>
          </w:p>
          <w:p w14:paraId="354EC598" w14:textId="496F44B8" w:rsidR="00472715" w:rsidRPr="00520C23" w:rsidRDefault="00472715" w:rsidP="00472715">
            <w:pPr>
              <w:spacing w:before="120"/>
              <w:rPr>
                <w:rFonts w:cstheme="minorHAnsi"/>
                <w:u w:val="single"/>
              </w:rPr>
            </w:pPr>
            <w:r w:rsidRPr="00520C23">
              <w:rPr>
                <w:rFonts w:cstheme="minorHAnsi"/>
                <w:u w:val="single"/>
              </w:rPr>
              <w:t>Section 18</w:t>
            </w:r>
          </w:p>
          <w:p w14:paraId="4F464BE8" w14:textId="6012FE0E" w:rsidR="00472715" w:rsidRPr="00520C23" w:rsidRDefault="00472715" w:rsidP="00472715">
            <w:pPr>
              <w:spacing w:before="120"/>
              <w:rPr>
                <w:rFonts w:cstheme="minorHAnsi"/>
                <w:i/>
                <w:iCs/>
              </w:rPr>
            </w:pPr>
            <w:r w:rsidRPr="00520C23">
              <w:rPr>
                <w:rFonts w:cstheme="minorHAnsi"/>
                <w:i/>
                <w:iCs/>
              </w:rPr>
              <w:lastRenderedPageBreak/>
              <w:t xml:space="preserve">(1) The Minister must cause to be published, at the expense of the applicant, in a newspaper circulating in the part of the Territory in which the application area is situated, or in any other publication that the Minister thinks fit, a notice containing: </w:t>
            </w:r>
          </w:p>
          <w:p w14:paraId="6A859DAC" w14:textId="52380F36" w:rsidR="00472715" w:rsidRPr="00520C23" w:rsidRDefault="00472715" w:rsidP="00472715">
            <w:pPr>
              <w:spacing w:before="120"/>
              <w:rPr>
                <w:rFonts w:cstheme="minorHAnsi"/>
                <w:i/>
                <w:iCs/>
              </w:rPr>
            </w:pPr>
            <w:r w:rsidRPr="00520C23">
              <w:rPr>
                <w:rFonts w:cstheme="minorHAnsi"/>
                <w:i/>
                <w:iCs/>
              </w:rPr>
              <w:t xml:space="preserve">                            ***</w:t>
            </w:r>
          </w:p>
          <w:p w14:paraId="4CAC1166" w14:textId="648C0722" w:rsidR="00472715" w:rsidRPr="00520C23" w:rsidRDefault="00472715" w:rsidP="00472715">
            <w:pPr>
              <w:spacing w:before="120"/>
              <w:rPr>
                <w:rFonts w:cstheme="minorHAnsi"/>
                <w:i/>
                <w:iCs/>
              </w:rPr>
            </w:pPr>
            <w:r w:rsidRPr="00520C23">
              <w:rPr>
                <w:rFonts w:cstheme="minorHAnsi"/>
                <w:i/>
                <w:iCs/>
              </w:rPr>
              <w:t>(e) a statement to the effect that a person may, within 2 months after  the  notice  is  published  in  the  newspaper  or  other  publication, lodge in writing with the Minister an objection to the grant.</w:t>
            </w:r>
          </w:p>
          <w:p w14:paraId="75A36ABF" w14:textId="3D9FC4D4" w:rsidR="00472715" w:rsidRPr="00520C23" w:rsidRDefault="00472715" w:rsidP="00472715">
            <w:pPr>
              <w:spacing w:before="120"/>
              <w:rPr>
                <w:rFonts w:cstheme="minorHAnsi"/>
                <w:u w:val="single"/>
              </w:rPr>
            </w:pPr>
            <w:r w:rsidRPr="00520C23">
              <w:rPr>
                <w:rFonts w:cstheme="minorHAnsi"/>
                <w:u w:val="single"/>
              </w:rPr>
              <w:t xml:space="preserve">Section 19 </w:t>
            </w:r>
          </w:p>
          <w:p w14:paraId="3AC2C9BD" w14:textId="39815496" w:rsidR="00472715" w:rsidRPr="00520C23" w:rsidRDefault="00472715" w:rsidP="00472715">
            <w:pPr>
              <w:spacing w:before="120"/>
              <w:rPr>
                <w:rFonts w:cstheme="minorHAnsi"/>
                <w:i/>
                <w:iCs/>
              </w:rPr>
            </w:pPr>
            <w:r w:rsidRPr="00520C23">
              <w:rPr>
                <w:rFonts w:cstheme="minorHAnsi"/>
                <w:i/>
                <w:iCs/>
              </w:rPr>
              <w:t>(1) Objections to the grant of an exploration permit may be lodged in response to a notice published under section 18(1) in accordance with the statement referred to in section 18(1)(e).</w:t>
            </w:r>
          </w:p>
          <w:p w14:paraId="77885C9F" w14:textId="1F6111D2" w:rsidR="00472715" w:rsidRPr="00520C23" w:rsidRDefault="00472715" w:rsidP="00472715">
            <w:pPr>
              <w:spacing w:before="120"/>
              <w:rPr>
                <w:rFonts w:cstheme="minorHAnsi"/>
                <w:i/>
                <w:iCs/>
              </w:rPr>
            </w:pPr>
            <w:r w:rsidRPr="00520C23">
              <w:rPr>
                <w:rFonts w:cstheme="minorHAnsi"/>
                <w:i/>
                <w:iCs/>
              </w:rPr>
              <w:t>(2A) The Minister must, as soon as practicable after receiving the objections, publish the objections on the Agency's website.</w:t>
            </w:r>
          </w:p>
          <w:p w14:paraId="17512A62" w14:textId="77777777" w:rsidR="00472715" w:rsidRPr="00520C23" w:rsidRDefault="00472715" w:rsidP="00472715">
            <w:pPr>
              <w:spacing w:before="120"/>
              <w:rPr>
                <w:rFonts w:cstheme="minorHAnsi"/>
              </w:rPr>
            </w:pPr>
          </w:p>
          <w:p w14:paraId="62BA39B5" w14:textId="4556358D" w:rsidR="00472715" w:rsidRPr="00520C23" w:rsidRDefault="00472715" w:rsidP="00472715">
            <w:pPr>
              <w:spacing w:before="120"/>
              <w:rPr>
                <w:rFonts w:cstheme="minorHAnsi"/>
              </w:rPr>
            </w:pPr>
          </w:p>
        </w:tc>
        <w:tc>
          <w:tcPr>
            <w:tcW w:w="5310" w:type="dxa"/>
            <w:shd w:val="clear" w:color="auto" w:fill="E2EFD9" w:themeFill="accent6" w:themeFillTint="33"/>
          </w:tcPr>
          <w:p w14:paraId="23D196DF" w14:textId="656FD3C2" w:rsidR="00472715" w:rsidRPr="00520C23" w:rsidRDefault="00472715" w:rsidP="00472715">
            <w:pPr>
              <w:spacing w:before="120"/>
              <w:rPr>
                <w:rFonts w:cstheme="minorHAnsi"/>
              </w:rPr>
            </w:pPr>
            <w:r w:rsidRPr="00520C23">
              <w:rPr>
                <w:rFonts w:cstheme="minorHAnsi"/>
              </w:rPr>
              <w:lastRenderedPageBreak/>
              <w:t xml:space="preserve">The </w:t>
            </w:r>
            <w:r w:rsidRPr="00520C23">
              <w:rPr>
                <w:rFonts w:cstheme="minorHAnsi"/>
                <w:i/>
                <w:iCs/>
              </w:rPr>
              <w:t>Petroleum Act 1984</w:t>
            </w:r>
            <w:r w:rsidRPr="00520C23">
              <w:rPr>
                <w:rFonts w:cstheme="minorHAnsi"/>
              </w:rPr>
              <w:t xml:space="preserve"> adequately address recommendation 14.8.</w:t>
            </w:r>
          </w:p>
          <w:p w14:paraId="0E1B9485" w14:textId="1DA61F22" w:rsidR="00472715" w:rsidRPr="00520C23" w:rsidRDefault="00472715" w:rsidP="00472715">
            <w:pPr>
              <w:spacing w:before="120"/>
              <w:rPr>
                <w:rFonts w:cstheme="minorHAnsi"/>
                <w:i/>
                <w:iCs/>
                <w:u w:val="single"/>
              </w:rPr>
            </w:pPr>
            <w:r w:rsidRPr="00520C23">
              <w:rPr>
                <w:rFonts w:cstheme="minorHAnsi"/>
                <w:i/>
                <w:iCs/>
                <w:u w:val="single"/>
              </w:rPr>
              <w:t>Comments</w:t>
            </w:r>
          </w:p>
          <w:p w14:paraId="5920D279" w14:textId="0CD6B45A" w:rsidR="00472715" w:rsidRPr="00520C23" w:rsidRDefault="00472715" w:rsidP="00472715">
            <w:pPr>
              <w:pStyle w:val="ListParagraph"/>
              <w:numPr>
                <w:ilvl w:val="0"/>
                <w:numId w:val="86"/>
              </w:numPr>
              <w:spacing w:before="120"/>
              <w:rPr>
                <w:rFonts w:cstheme="minorHAnsi"/>
              </w:rPr>
            </w:pPr>
            <w:r w:rsidRPr="00520C23">
              <w:rPr>
                <w:rFonts w:cstheme="minorHAnsi"/>
              </w:rPr>
              <w:lastRenderedPageBreak/>
              <w:t xml:space="preserve">Anyone can lodge an objection to a proposed grant of an exploration permit within 2 months of the notice publication. </w:t>
            </w:r>
          </w:p>
          <w:p w14:paraId="1D44B3D7" w14:textId="49764423" w:rsidR="00472715" w:rsidRPr="00520C23" w:rsidRDefault="00472715" w:rsidP="00472715">
            <w:pPr>
              <w:pStyle w:val="ListParagraph"/>
              <w:numPr>
                <w:ilvl w:val="0"/>
                <w:numId w:val="86"/>
              </w:numPr>
              <w:spacing w:before="120"/>
              <w:rPr>
                <w:rFonts w:cstheme="minorHAnsi"/>
              </w:rPr>
            </w:pPr>
            <w:r w:rsidRPr="00520C23">
              <w:rPr>
                <w:rFonts w:cstheme="minorHAnsi"/>
              </w:rPr>
              <w:t xml:space="preserve">It is not possible to assess whether the Minister takes all objections into account without considering each exploration permit application on a case-by-case basis. </w:t>
            </w:r>
          </w:p>
        </w:tc>
      </w:tr>
      <w:tr w:rsidR="00EA3C33" w:rsidRPr="00520C23" w14:paraId="7FEA5BA3" w14:textId="77777777" w:rsidTr="00EA3C33">
        <w:tc>
          <w:tcPr>
            <w:tcW w:w="846" w:type="dxa"/>
            <w:shd w:val="clear" w:color="auto" w:fill="auto"/>
          </w:tcPr>
          <w:p w14:paraId="6850CE90" w14:textId="169DB3E2" w:rsidR="00472715" w:rsidRPr="00520C23" w:rsidRDefault="00472715" w:rsidP="00472715">
            <w:pPr>
              <w:spacing w:before="120"/>
              <w:jc w:val="center"/>
              <w:rPr>
                <w:rFonts w:cstheme="minorHAnsi"/>
              </w:rPr>
            </w:pPr>
            <w:r w:rsidRPr="00520C23">
              <w:rPr>
                <w:rFonts w:cstheme="minorHAnsi"/>
              </w:rPr>
              <w:lastRenderedPageBreak/>
              <w:t>14.11</w:t>
            </w:r>
          </w:p>
        </w:tc>
        <w:tc>
          <w:tcPr>
            <w:tcW w:w="4819" w:type="dxa"/>
            <w:shd w:val="clear" w:color="auto" w:fill="auto"/>
          </w:tcPr>
          <w:p w14:paraId="07DE5256" w14:textId="77777777" w:rsidR="00472715" w:rsidRPr="00520C23" w:rsidRDefault="00472715" w:rsidP="00472715">
            <w:pPr>
              <w:spacing w:before="120"/>
              <w:rPr>
                <w:rFonts w:cstheme="minorHAnsi"/>
                <w:i/>
                <w:iCs/>
              </w:rPr>
            </w:pPr>
            <w:r w:rsidRPr="00520C23">
              <w:rPr>
                <w:rFonts w:cstheme="minorHAnsi"/>
                <w:i/>
                <w:iCs/>
              </w:rPr>
              <w:t>That the Petroleum Act be amended to make the principles of ESD a mandatory relevant consideration for any decision made under that Act in relation to any onshore shale gas industry.</w:t>
            </w:r>
          </w:p>
          <w:p w14:paraId="77096B0E" w14:textId="77777777" w:rsidR="00472715" w:rsidRPr="00520C23" w:rsidRDefault="00472715" w:rsidP="00472715">
            <w:pPr>
              <w:spacing w:before="120"/>
              <w:rPr>
                <w:rFonts w:cstheme="minorHAnsi"/>
                <w:i/>
                <w:iCs/>
              </w:rPr>
            </w:pPr>
            <w:r w:rsidRPr="00520C23">
              <w:rPr>
                <w:rFonts w:cstheme="minorHAnsi"/>
                <w:i/>
                <w:iCs/>
              </w:rPr>
              <w:t>That the principles of ESD must be taken into account and applied by a decision-maker in respect of all decisions concerning any onshore shale gas industry.</w:t>
            </w:r>
          </w:p>
          <w:p w14:paraId="7F1152D5" w14:textId="77777777" w:rsidR="00472715" w:rsidRPr="00520C23" w:rsidRDefault="00472715" w:rsidP="00472715">
            <w:pPr>
              <w:spacing w:before="120"/>
              <w:rPr>
                <w:rFonts w:cstheme="minorHAnsi"/>
                <w:i/>
                <w:iCs/>
              </w:rPr>
            </w:pPr>
          </w:p>
        </w:tc>
        <w:tc>
          <w:tcPr>
            <w:tcW w:w="5760" w:type="dxa"/>
            <w:shd w:val="clear" w:color="auto" w:fill="auto"/>
          </w:tcPr>
          <w:p w14:paraId="0F64CD26" w14:textId="05245FD3" w:rsidR="00472715" w:rsidRPr="00520C23" w:rsidRDefault="00472715" w:rsidP="00472715">
            <w:pPr>
              <w:spacing w:before="120"/>
              <w:rPr>
                <w:rFonts w:cstheme="minorHAnsi"/>
              </w:rPr>
            </w:pPr>
            <w:r w:rsidRPr="00520C23">
              <w:rPr>
                <w:rFonts w:cstheme="minorHAnsi"/>
              </w:rPr>
              <w:t>The </w:t>
            </w:r>
            <w:r w:rsidRPr="00520C23">
              <w:rPr>
                <w:rFonts w:cstheme="minorHAnsi"/>
                <w:i/>
                <w:iCs/>
              </w:rPr>
              <w:t>Petroleum Legislation Miscellaneous Amendments Bill 2019 </w:t>
            </w:r>
            <w:r w:rsidRPr="00520C23">
              <w:rPr>
                <w:rFonts w:cstheme="minorHAnsi"/>
              </w:rPr>
              <w:t>was passed in the Legislative Assembly on 24 March 2020 and assented to on 30 March 2020. The </w:t>
            </w:r>
            <w:r w:rsidRPr="00520C23">
              <w:rPr>
                <w:rFonts w:cstheme="minorHAnsi"/>
                <w:i/>
                <w:iCs/>
              </w:rPr>
              <w:t>Petroleum Act 1984</w:t>
            </w:r>
            <w:r w:rsidRPr="00520C23">
              <w:rPr>
                <w:rFonts w:cstheme="minorHAnsi"/>
              </w:rPr>
              <w:t> was amended to require the principles of ecologically sustainable development are considered in decision-making under the </w:t>
            </w:r>
            <w:r w:rsidRPr="00520C23">
              <w:rPr>
                <w:rFonts w:cstheme="minorHAnsi"/>
                <w:i/>
                <w:iCs/>
              </w:rPr>
              <w:t>Petroleum Act 1984</w:t>
            </w:r>
            <w:r w:rsidRPr="00520C23">
              <w:rPr>
                <w:rFonts w:cstheme="minorHAnsi"/>
              </w:rPr>
              <w:t> and the </w:t>
            </w:r>
            <w:r w:rsidRPr="00520C23">
              <w:rPr>
                <w:rFonts w:cstheme="minorHAnsi"/>
                <w:i/>
                <w:iCs/>
              </w:rPr>
              <w:t>Petroleum (Environment) Regulations 2016.</w:t>
            </w:r>
          </w:p>
          <w:p w14:paraId="291EE720" w14:textId="77777777" w:rsidR="00472715" w:rsidRPr="00520C23" w:rsidRDefault="00472715" w:rsidP="00472715">
            <w:pPr>
              <w:spacing w:before="120"/>
              <w:rPr>
                <w:rFonts w:cstheme="minorHAnsi"/>
              </w:rPr>
            </w:pPr>
            <w:r w:rsidRPr="00520C23">
              <w:rPr>
                <w:rFonts w:cstheme="minorHAnsi"/>
              </w:rPr>
              <w:t>The amendments to the Act commenced in June 2020.</w:t>
            </w:r>
          </w:p>
          <w:p w14:paraId="56A3C47E" w14:textId="77777777" w:rsidR="00472715" w:rsidRPr="00520C23" w:rsidRDefault="00472715" w:rsidP="00472715">
            <w:pPr>
              <w:spacing w:before="120"/>
              <w:rPr>
                <w:rFonts w:cstheme="minorHAnsi"/>
              </w:rPr>
            </w:pPr>
          </w:p>
        </w:tc>
        <w:tc>
          <w:tcPr>
            <w:tcW w:w="5670" w:type="dxa"/>
            <w:shd w:val="clear" w:color="auto" w:fill="auto"/>
          </w:tcPr>
          <w:p w14:paraId="6CAA6382" w14:textId="77777777" w:rsidR="00472715" w:rsidRPr="00520C23" w:rsidRDefault="00472715" w:rsidP="00472715">
            <w:pPr>
              <w:spacing w:before="120"/>
              <w:rPr>
                <w:rFonts w:cstheme="minorHAnsi"/>
                <w:b/>
                <w:bCs/>
                <w:i/>
                <w:iCs/>
              </w:rPr>
            </w:pPr>
            <w:r w:rsidRPr="00520C23">
              <w:rPr>
                <w:rFonts w:cstheme="minorHAnsi"/>
                <w:b/>
                <w:bCs/>
                <w:i/>
                <w:iCs/>
              </w:rPr>
              <w:t>Petroleum Act 1984</w:t>
            </w:r>
          </w:p>
          <w:p w14:paraId="76E0EF80" w14:textId="2E510513" w:rsidR="00472715" w:rsidRPr="00520C23" w:rsidRDefault="00472715" w:rsidP="00472715">
            <w:pPr>
              <w:spacing w:before="120"/>
              <w:rPr>
                <w:rFonts w:cstheme="minorHAnsi"/>
                <w:u w:val="single"/>
              </w:rPr>
            </w:pPr>
            <w:r w:rsidRPr="00520C23">
              <w:rPr>
                <w:rFonts w:cstheme="minorHAnsi"/>
                <w:u w:val="single"/>
              </w:rPr>
              <w:t>Part IA Principles of ecologically sustainable development</w:t>
            </w:r>
          </w:p>
          <w:p w14:paraId="72DCFD63" w14:textId="77777777" w:rsidR="00472715" w:rsidRPr="00520C23" w:rsidRDefault="00472715" w:rsidP="00472715">
            <w:pPr>
              <w:spacing w:before="120"/>
              <w:rPr>
                <w:rFonts w:cstheme="minorHAnsi"/>
                <w:u w:val="single"/>
              </w:rPr>
            </w:pPr>
            <w:r w:rsidRPr="00520C23">
              <w:rPr>
                <w:rFonts w:cstheme="minorHAnsi"/>
                <w:u w:val="single"/>
              </w:rPr>
              <w:t>6A Principles of ecologically sustainable development</w:t>
            </w:r>
          </w:p>
          <w:p w14:paraId="2E794F5E" w14:textId="5BB58CB9" w:rsidR="00472715" w:rsidRPr="00520C23" w:rsidRDefault="00472715" w:rsidP="00472715">
            <w:pPr>
              <w:pStyle w:val="ListParagraph"/>
              <w:numPr>
                <w:ilvl w:val="0"/>
                <w:numId w:val="68"/>
              </w:numPr>
              <w:spacing w:before="120"/>
              <w:rPr>
                <w:rFonts w:cstheme="minorHAnsi"/>
                <w:i/>
                <w:iCs/>
              </w:rPr>
            </w:pPr>
            <w:r w:rsidRPr="00520C23">
              <w:rPr>
                <w:rFonts w:cstheme="minorHAnsi"/>
                <w:i/>
                <w:iCs/>
              </w:rPr>
              <w:t>The Minister must consider and apply the principles of ecologically sustainable development in making the following decisions under this Act:</w:t>
            </w:r>
          </w:p>
          <w:p w14:paraId="6FABC53A" w14:textId="6B7DCC64" w:rsidR="00472715" w:rsidRPr="00520C23" w:rsidRDefault="00472715" w:rsidP="00472715">
            <w:pPr>
              <w:pStyle w:val="ListParagraph"/>
              <w:numPr>
                <w:ilvl w:val="1"/>
                <w:numId w:val="69"/>
              </w:numPr>
              <w:spacing w:before="120"/>
              <w:ind w:left="701"/>
              <w:rPr>
                <w:rFonts w:cstheme="minorHAnsi"/>
                <w:i/>
                <w:iCs/>
              </w:rPr>
            </w:pPr>
            <w:r w:rsidRPr="00520C23">
              <w:rPr>
                <w:rFonts w:cstheme="minorHAnsi"/>
                <w:i/>
                <w:iCs/>
              </w:rPr>
              <w:t>the decisions specified in Schedule 1;</w:t>
            </w:r>
          </w:p>
          <w:p w14:paraId="237C09F4" w14:textId="3D780253" w:rsidR="00472715" w:rsidRPr="00520C23" w:rsidRDefault="00472715" w:rsidP="00472715">
            <w:pPr>
              <w:pStyle w:val="ListParagraph"/>
              <w:numPr>
                <w:ilvl w:val="1"/>
                <w:numId w:val="69"/>
              </w:numPr>
              <w:spacing w:before="120"/>
              <w:ind w:left="701"/>
              <w:rPr>
                <w:rFonts w:cstheme="minorHAnsi"/>
                <w:i/>
                <w:iCs/>
              </w:rPr>
            </w:pPr>
            <w:r w:rsidRPr="00520C23">
              <w:rPr>
                <w:rFonts w:cstheme="minorHAnsi"/>
                <w:i/>
                <w:iCs/>
              </w:rPr>
              <w:t>a decision made under a direction given by the Minister under section 71(1);</w:t>
            </w:r>
          </w:p>
          <w:p w14:paraId="1B55D7D6" w14:textId="3C9B0BCF" w:rsidR="00472715" w:rsidRPr="00520C23" w:rsidRDefault="00472715" w:rsidP="00472715">
            <w:pPr>
              <w:pStyle w:val="ListParagraph"/>
              <w:numPr>
                <w:ilvl w:val="1"/>
                <w:numId w:val="69"/>
              </w:numPr>
              <w:spacing w:before="120"/>
              <w:ind w:left="701"/>
              <w:rPr>
                <w:rFonts w:cstheme="minorHAnsi"/>
                <w:i/>
                <w:iCs/>
              </w:rPr>
            </w:pPr>
            <w:r w:rsidRPr="00520C23">
              <w:rPr>
                <w:rFonts w:cstheme="minorHAnsi"/>
                <w:i/>
                <w:iCs/>
              </w:rPr>
              <w:t>any other prescribed decision.</w:t>
            </w:r>
          </w:p>
          <w:p w14:paraId="5D227388" w14:textId="74CBD7D3" w:rsidR="00472715" w:rsidRPr="00520C23" w:rsidRDefault="00472715" w:rsidP="00472715">
            <w:pPr>
              <w:pStyle w:val="ListParagraph"/>
              <w:numPr>
                <w:ilvl w:val="0"/>
                <w:numId w:val="68"/>
              </w:numPr>
              <w:spacing w:before="120"/>
              <w:rPr>
                <w:rFonts w:cstheme="minorHAnsi"/>
                <w:i/>
                <w:iCs/>
              </w:rPr>
            </w:pPr>
            <w:r w:rsidRPr="00520C23">
              <w:rPr>
                <w:rFonts w:cstheme="minorHAnsi"/>
                <w:i/>
                <w:iCs/>
              </w:rPr>
              <w:t>Unless otherwise expressly provided, in making a decision under this Act and stating the reasons for that decision, the Minister is not required to specify how the Minister considered or applied these principles.</w:t>
            </w:r>
          </w:p>
          <w:p w14:paraId="63D34F61" w14:textId="77777777" w:rsidR="00472715" w:rsidRPr="00520C23" w:rsidRDefault="00472715" w:rsidP="00472715">
            <w:pPr>
              <w:spacing w:before="120"/>
              <w:rPr>
                <w:rFonts w:cstheme="minorHAnsi"/>
                <w:u w:val="single"/>
              </w:rPr>
            </w:pPr>
            <w:r w:rsidRPr="00520C23">
              <w:rPr>
                <w:rFonts w:cstheme="minorHAnsi"/>
                <w:u w:val="single"/>
              </w:rPr>
              <w:t>133 Decision in relation to variation of condition of production licence</w:t>
            </w:r>
          </w:p>
          <w:p w14:paraId="5A50FA66" w14:textId="628BD759" w:rsidR="00472715" w:rsidRPr="00520C23" w:rsidRDefault="00472715" w:rsidP="00472715">
            <w:pPr>
              <w:spacing w:before="120"/>
              <w:rPr>
                <w:rFonts w:cstheme="minorHAnsi"/>
                <w:i/>
                <w:iCs/>
              </w:rPr>
            </w:pPr>
            <w:r w:rsidRPr="00520C23">
              <w:rPr>
                <w:rFonts w:cstheme="minorHAnsi"/>
                <w:i/>
                <w:iCs/>
              </w:rPr>
              <w:t>The Minister is not required to consider and apply the principles of ecologically sustainable development in making a decision made under section 55(2) in relation to an application under section 55(1) made before the commencement.</w:t>
            </w:r>
          </w:p>
          <w:p w14:paraId="45D4C26A" w14:textId="66036D49" w:rsidR="00472715" w:rsidRPr="00520C23" w:rsidRDefault="00472715" w:rsidP="00472715">
            <w:pPr>
              <w:spacing w:before="120"/>
              <w:rPr>
                <w:rFonts w:cstheme="minorHAnsi"/>
                <w:u w:val="single"/>
              </w:rPr>
            </w:pPr>
            <w:r w:rsidRPr="00520C23">
              <w:rPr>
                <w:rFonts w:cstheme="minorHAnsi"/>
                <w:u w:val="single"/>
              </w:rPr>
              <w:t>55 Variation etc. of condition of production licence</w:t>
            </w:r>
          </w:p>
          <w:p w14:paraId="5FCDFE0D" w14:textId="7F715790" w:rsidR="00472715" w:rsidRPr="00520C23" w:rsidRDefault="00472715" w:rsidP="00472715">
            <w:pPr>
              <w:pStyle w:val="ListParagraph"/>
              <w:numPr>
                <w:ilvl w:val="0"/>
                <w:numId w:val="70"/>
              </w:numPr>
              <w:spacing w:before="120"/>
              <w:rPr>
                <w:rFonts w:cstheme="minorHAnsi"/>
                <w:i/>
                <w:iCs/>
              </w:rPr>
            </w:pPr>
            <w:r w:rsidRPr="00520C23">
              <w:rPr>
                <w:rFonts w:cstheme="minorHAnsi"/>
                <w:i/>
                <w:iCs/>
              </w:rPr>
              <w:t>Subject to Part IIA if applicable, a production licensee may apply to the Minister to vary, suspend or waive a condition of his licence.</w:t>
            </w:r>
          </w:p>
          <w:p w14:paraId="1B79E5CC" w14:textId="1902A4E7" w:rsidR="00472715" w:rsidRPr="00520C23" w:rsidRDefault="00472715" w:rsidP="00472715">
            <w:pPr>
              <w:spacing w:before="120"/>
              <w:ind w:left="360"/>
              <w:rPr>
                <w:rFonts w:cstheme="minorHAnsi"/>
                <w:i/>
                <w:iCs/>
              </w:rPr>
            </w:pPr>
            <w:r w:rsidRPr="00520C23">
              <w:rPr>
                <w:rFonts w:cstheme="minorHAnsi"/>
                <w:i/>
                <w:iCs/>
              </w:rPr>
              <w:lastRenderedPageBreak/>
              <w:t>(1A) An application under subsection (1) must be accompanied by the prescribed fee.</w:t>
            </w:r>
          </w:p>
          <w:p w14:paraId="47DC9E04" w14:textId="01BC3B30" w:rsidR="00472715" w:rsidRPr="00520C23" w:rsidRDefault="00472715" w:rsidP="00472715">
            <w:pPr>
              <w:pStyle w:val="ListParagraph"/>
              <w:numPr>
                <w:ilvl w:val="0"/>
                <w:numId w:val="70"/>
              </w:numPr>
              <w:spacing w:before="120"/>
              <w:rPr>
                <w:rFonts w:cstheme="minorHAnsi"/>
                <w:i/>
                <w:iCs/>
              </w:rPr>
            </w:pPr>
            <w:r w:rsidRPr="00520C23">
              <w:rPr>
                <w:rFonts w:cstheme="minorHAnsi"/>
                <w:i/>
                <w:iCs/>
              </w:rPr>
              <w:t>Subject  to  Parts  IIA  and  IIB  as  applicable,  on  receiving  an  application under subsection (1), the Minister may, by notice served on the licensee, vary, suspend or waive a condition of the licence, in accordance with the application.</w:t>
            </w:r>
          </w:p>
          <w:p w14:paraId="230B40A8" w14:textId="491D2322" w:rsidR="00472715" w:rsidRPr="00520C23" w:rsidRDefault="00472715" w:rsidP="00472715">
            <w:pPr>
              <w:spacing w:before="120"/>
              <w:rPr>
                <w:rFonts w:cstheme="minorHAnsi"/>
              </w:rPr>
            </w:pPr>
          </w:p>
          <w:p w14:paraId="246FF520" w14:textId="77777777" w:rsidR="00472715" w:rsidRPr="00520C23" w:rsidRDefault="00472715" w:rsidP="00472715">
            <w:pPr>
              <w:spacing w:before="120"/>
              <w:rPr>
                <w:rFonts w:cstheme="minorHAnsi"/>
                <w:b/>
                <w:bCs/>
                <w:i/>
                <w:iCs/>
              </w:rPr>
            </w:pPr>
            <w:r w:rsidRPr="00520C23">
              <w:rPr>
                <w:rFonts w:cstheme="minorHAnsi"/>
                <w:b/>
                <w:bCs/>
                <w:i/>
                <w:iCs/>
              </w:rPr>
              <w:t>Environment Protection Act 2019</w:t>
            </w:r>
          </w:p>
          <w:p w14:paraId="761BA410" w14:textId="021D5536" w:rsidR="00472715" w:rsidRPr="00520C23" w:rsidRDefault="00472715" w:rsidP="00472715">
            <w:pPr>
              <w:spacing w:before="120"/>
              <w:rPr>
                <w:rFonts w:cstheme="minorHAnsi"/>
                <w:i/>
                <w:iCs/>
              </w:rPr>
            </w:pPr>
            <w:r w:rsidRPr="00520C23">
              <w:rPr>
                <w:rFonts w:cstheme="minorHAnsi"/>
                <w:b/>
                <w:bCs/>
                <w:i/>
                <w:iCs/>
              </w:rPr>
              <w:t>Ecologically sustainable development</w:t>
            </w:r>
            <w:r w:rsidRPr="00520C23">
              <w:rPr>
                <w:rFonts w:cstheme="minorHAnsi"/>
                <w:i/>
                <w:iCs/>
              </w:rPr>
              <w:t xml:space="preserve"> means development that improves the total quality of human life, both now and in the future, in a way that:</w:t>
            </w:r>
          </w:p>
          <w:p w14:paraId="1D71F90B" w14:textId="77777777" w:rsidR="00472715" w:rsidRPr="00520C23" w:rsidRDefault="00472715" w:rsidP="00472715">
            <w:pPr>
              <w:spacing w:before="120"/>
              <w:rPr>
                <w:rFonts w:cstheme="minorHAnsi"/>
                <w:i/>
                <w:iCs/>
              </w:rPr>
            </w:pPr>
            <w:r w:rsidRPr="00520C23">
              <w:rPr>
                <w:rFonts w:cstheme="minorHAnsi"/>
                <w:i/>
                <w:iCs/>
              </w:rPr>
              <w:t>(a) maintains the ecological processes on which all life depends; and</w:t>
            </w:r>
          </w:p>
          <w:p w14:paraId="7DD9B7E0" w14:textId="58E6B892" w:rsidR="00472715" w:rsidRPr="00520C23" w:rsidRDefault="00472715" w:rsidP="00472715">
            <w:pPr>
              <w:spacing w:before="120"/>
              <w:rPr>
                <w:rFonts w:cstheme="minorHAnsi"/>
                <w:i/>
                <w:iCs/>
              </w:rPr>
            </w:pPr>
            <w:r w:rsidRPr="00520C23">
              <w:rPr>
                <w:rFonts w:cstheme="minorHAnsi"/>
                <w:i/>
                <w:iCs/>
              </w:rPr>
              <w:t>(b) recognises the need for development to be equitable between current and future generations.</w:t>
            </w:r>
          </w:p>
          <w:p w14:paraId="63B5ED37" w14:textId="6FA2F27E" w:rsidR="00472715" w:rsidRPr="00520C23" w:rsidRDefault="00472715" w:rsidP="00472715">
            <w:pPr>
              <w:spacing w:before="120"/>
              <w:rPr>
                <w:rFonts w:cstheme="minorHAnsi"/>
              </w:rPr>
            </w:pPr>
          </w:p>
        </w:tc>
        <w:tc>
          <w:tcPr>
            <w:tcW w:w="5310" w:type="dxa"/>
            <w:shd w:val="clear" w:color="auto" w:fill="FED6D6"/>
          </w:tcPr>
          <w:p w14:paraId="69B797B2" w14:textId="6114D0C1" w:rsidR="00472715" w:rsidRPr="00520C23" w:rsidRDefault="00472715" w:rsidP="00472715">
            <w:pPr>
              <w:spacing w:before="120"/>
              <w:rPr>
                <w:rFonts w:cstheme="minorHAnsi"/>
              </w:rPr>
            </w:pPr>
            <w:r w:rsidRPr="00520C23">
              <w:rPr>
                <w:rFonts w:cstheme="minorHAnsi"/>
              </w:rPr>
              <w:lastRenderedPageBreak/>
              <w:t xml:space="preserve">The </w:t>
            </w:r>
            <w:r w:rsidRPr="00520C23">
              <w:rPr>
                <w:rFonts w:cstheme="minorHAnsi"/>
                <w:i/>
                <w:iCs/>
              </w:rPr>
              <w:t xml:space="preserve">Petroleum Act 1984 </w:t>
            </w:r>
            <w:r w:rsidRPr="00520C23">
              <w:rPr>
                <w:rFonts w:cstheme="minorHAnsi"/>
              </w:rPr>
              <w:t xml:space="preserve">does not adequately address recommendation 14.11. </w:t>
            </w:r>
          </w:p>
          <w:p w14:paraId="16DD9D9C" w14:textId="37E0B578" w:rsidR="00472715" w:rsidRPr="00520C23" w:rsidRDefault="00472715" w:rsidP="00472715">
            <w:pPr>
              <w:spacing w:before="120"/>
              <w:rPr>
                <w:rFonts w:cstheme="minorHAnsi"/>
                <w:i/>
                <w:iCs/>
                <w:u w:val="single"/>
              </w:rPr>
            </w:pPr>
            <w:r w:rsidRPr="00520C23">
              <w:rPr>
                <w:rFonts w:cstheme="minorHAnsi"/>
                <w:i/>
                <w:iCs/>
                <w:u w:val="single"/>
              </w:rPr>
              <w:t>Comments</w:t>
            </w:r>
          </w:p>
          <w:p w14:paraId="137AA712" w14:textId="7A178DF4" w:rsidR="00472715" w:rsidRPr="00520C23" w:rsidRDefault="00472715" w:rsidP="00472715">
            <w:pPr>
              <w:pStyle w:val="ListParagraph"/>
              <w:numPr>
                <w:ilvl w:val="0"/>
                <w:numId w:val="88"/>
              </w:numPr>
              <w:spacing w:before="120"/>
              <w:rPr>
                <w:rFonts w:cstheme="minorHAnsi"/>
              </w:rPr>
            </w:pPr>
            <w:r w:rsidRPr="00520C23">
              <w:rPr>
                <w:rFonts w:cstheme="minorHAnsi"/>
              </w:rPr>
              <w:t>Although the recommendation states that the principles of ecologically sustainable development (</w:t>
            </w:r>
            <w:r w:rsidRPr="00520C23">
              <w:rPr>
                <w:rFonts w:cstheme="minorHAnsi"/>
                <w:b/>
                <w:bCs/>
              </w:rPr>
              <w:t>ESD</w:t>
            </w:r>
            <w:r w:rsidRPr="00520C23">
              <w:rPr>
                <w:rFonts w:cstheme="minorHAnsi"/>
              </w:rPr>
              <w:t xml:space="preserve">) should be considered for </w:t>
            </w:r>
            <w:r w:rsidRPr="00520C23">
              <w:rPr>
                <w:rFonts w:cstheme="minorHAnsi"/>
                <w:b/>
                <w:bCs/>
              </w:rPr>
              <w:t xml:space="preserve">any </w:t>
            </w:r>
            <w:r w:rsidRPr="00520C23">
              <w:rPr>
                <w:rFonts w:cstheme="minorHAnsi"/>
              </w:rPr>
              <w:t xml:space="preserve">decision made under the Petroleum Act relating to the onshore shale gas industry, the Act provides for an exemption where the Minister is varying, suspending, or waiving a condition of a production license. This exemption could result in negative environmental impacts depending on the condition at issue. </w:t>
            </w:r>
          </w:p>
          <w:p w14:paraId="29F17D2C" w14:textId="1E158134" w:rsidR="00472715" w:rsidRPr="00520C23" w:rsidRDefault="00472715" w:rsidP="00472715">
            <w:pPr>
              <w:pStyle w:val="ListParagraph"/>
              <w:numPr>
                <w:ilvl w:val="0"/>
                <w:numId w:val="88"/>
              </w:numPr>
              <w:spacing w:before="120"/>
              <w:rPr>
                <w:rFonts w:cstheme="minorHAnsi"/>
              </w:rPr>
            </w:pPr>
            <w:r w:rsidRPr="00520C23">
              <w:rPr>
                <w:rFonts w:cstheme="minorHAnsi"/>
              </w:rPr>
              <w:t>Whether the principles of ESD are taken into account and applied by the decision-maker for all decisions can only be assessed on a case-by-case basis.</w:t>
            </w:r>
          </w:p>
          <w:p w14:paraId="555A2FD8" w14:textId="68DEE3F7" w:rsidR="00472715" w:rsidRPr="00520C23" w:rsidRDefault="00472715" w:rsidP="00472715">
            <w:pPr>
              <w:spacing w:before="120"/>
              <w:rPr>
                <w:rFonts w:cstheme="minorHAnsi"/>
              </w:rPr>
            </w:pPr>
          </w:p>
        </w:tc>
      </w:tr>
      <w:tr w:rsidR="00EA3C33" w:rsidRPr="00520C23" w14:paraId="6A9E1493" w14:textId="77777777" w:rsidTr="00EA3C33">
        <w:tc>
          <w:tcPr>
            <w:tcW w:w="846" w:type="dxa"/>
            <w:shd w:val="clear" w:color="auto" w:fill="auto"/>
          </w:tcPr>
          <w:p w14:paraId="5CCA8B2D" w14:textId="53DE6B86" w:rsidR="00472715" w:rsidRPr="00520C23" w:rsidRDefault="00472715" w:rsidP="00472715">
            <w:pPr>
              <w:spacing w:before="120"/>
              <w:jc w:val="center"/>
              <w:rPr>
                <w:rFonts w:cstheme="minorHAnsi"/>
              </w:rPr>
            </w:pPr>
            <w:r w:rsidRPr="00520C23">
              <w:rPr>
                <w:rFonts w:cstheme="minorHAnsi"/>
              </w:rPr>
              <w:t>14.12</w:t>
            </w:r>
          </w:p>
        </w:tc>
        <w:tc>
          <w:tcPr>
            <w:tcW w:w="4819" w:type="dxa"/>
            <w:shd w:val="clear" w:color="auto" w:fill="auto"/>
          </w:tcPr>
          <w:p w14:paraId="7065C391" w14:textId="77777777" w:rsidR="00472715" w:rsidRPr="00520C23" w:rsidRDefault="00472715" w:rsidP="00472715">
            <w:pPr>
              <w:spacing w:before="120"/>
              <w:rPr>
                <w:rFonts w:cstheme="minorHAnsi"/>
                <w:i/>
                <w:iCs/>
              </w:rPr>
            </w:pPr>
            <w:r w:rsidRPr="00520C23">
              <w:rPr>
                <w:rFonts w:cstheme="minorHAnsi"/>
                <w:i/>
                <w:iCs/>
              </w:rPr>
              <w:t>That the Minister must not grant any further exploration permits unless satisfied that the applicant (including any related entity) is a fit and proper person, taking into account, among other things, the applicant’s environmental history and history of compliance with the Petroleum Act and any other relevant legislation both domestically and overseas.</w:t>
            </w:r>
          </w:p>
          <w:p w14:paraId="0B0C85AB" w14:textId="77777777" w:rsidR="00472715" w:rsidRPr="00520C23" w:rsidRDefault="00472715" w:rsidP="00472715">
            <w:pPr>
              <w:spacing w:before="120"/>
              <w:rPr>
                <w:rFonts w:cstheme="minorHAnsi"/>
                <w:i/>
                <w:iCs/>
              </w:rPr>
            </w:pPr>
            <w:r w:rsidRPr="00520C23">
              <w:rPr>
                <w:rFonts w:cstheme="minorHAnsi"/>
                <w:i/>
                <w:iCs/>
              </w:rPr>
              <w:t>That failure to disclose a matter upon request relevant to the determination of whether an applicant is a fit and proper person will result in civil and/or criminal sanctions under the Petroleum Act.</w:t>
            </w:r>
          </w:p>
          <w:p w14:paraId="7A70AB7D" w14:textId="77777777" w:rsidR="00472715" w:rsidRPr="00520C23" w:rsidRDefault="00472715" w:rsidP="00472715">
            <w:pPr>
              <w:spacing w:before="120"/>
              <w:rPr>
                <w:rFonts w:cstheme="minorHAnsi"/>
                <w:i/>
                <w:iCs/>
              </w:rPr>
            </w:pPr>
            <w:r w:rsidRPr="00520C23">
              <w:rPr>
                <w:rFonts w:cstheme="minorHAnsi"/>
                <w:i/>
                <w:iCs/>
              </w:rPr>
              <w:t>That the Minister’s reasons for determining whether or not the applicant is a fit and proper person be published online.</w:t>
            </w:r>
          </w:p>
          <w:p w14:paraId="614A2D10" w14:textId="77777777" w:rsidR="00472715" w:rsidRPr="00520C23" w:rsidRDefault="00472715" w:rsidP="00472715">
            <w:pPr>
              <w:spacing w:before="120"/>
              <w:rPr>
                <w:rFonts w:cstheme="minorHAnsi"/>
                <w:i/>
                <w:iCs/>
              </w:rPr>
            </w:pPr>
          </w:p>
        </w:tc>
        <w:tc>
          <w:tcPr>
            <w:tcW w:w="5760" w:type="dxa"/>
            <w:shd w:val="clear" w:color="auto" w:fill="auto"/>
          </w:tcPr>
          <w:p w14:paraId="75AFB858" w14:textId="2B823A0F" w:rsidR="00472715" w:rsidRPr="00520C23" w:rsidRDefault="00472715" w:rsidP="00472715">
            <w:pPr>
              <w:spacing w:before="120"/>
              <w:rPr>
                <w:rFonts w:cstheme="minorHAnsi"/>
              </w:rPr>
            </w:pPr>
            <w:r w:rsidRPr="00520C23">
              <w:rPr>
                <w:rFonts w:cstheme="minorHAnsi"/>
              </w:rPr>
              <w:t>The Petroleum Act 1984 was amended in March 2019 to require an appropriate person test for the issuing of a permit. The changes to the legislation came into effect in April 2019.</w:t>
            </w:r>
          </w:p>
        </w:tc>
        <w:tc>
          <w:tcPr>
            <w:tcW w:w="5670" w:type="dxa"/>
            <w:shd w:val="clear" w:color="auto" w:fill="auto"/>
          </w:tcPr>
          <w:p w14:paraId="2B1963B8" w14:textId="4B588742" w:rsidR="00472715" w:rsidRPr="00520C23" w:rsidRDefault="00472715" w:rsidP="00472715">
            <w:pPr>
              <w:spacing w:before="120"/>
              <w:rPr>
                <w:rFonts w:cstheme="minorHAnsi"/>
                <w:b/>
                <w:bCs/>
                <w:i/>
                <w:iCs/>
              </w:rPr>
            </w:pPr>
            <w:r w:rsidRPr="00520C23">
              <w:rPr>
                <w:rFonts w:cstheme="minorHAnsi"/>
                <w:b/>
                <w:bCs/>
                <w:i/>
                <w:iCs/>
              </w:rPr>
              <w:t>Petroleum Act 1984</w:t>
            </w:r>
          </w:p>
          <w:p w14:paraId="550D2994" w14:textId="3FF813B9" w:rsidR="00472715" w:rsidRPr="00520C23" w:rsidRDefault="00472715" w:rsidP="00472715">
            <w:pPr>
              <w:spacing w:before="120"/>
              <w:rPr>
                <w:rFonts w:cstheme="minorHAnsi"/>
              </w:rPr>
            </w:pPr>
            <w:r w:rsidRPr="00520C23">
              <w:rPr>
                <w:rFonts w:cstheme="minorHAnsi"/>
              </w:rPr>
              <w:t xml:space="preserve">Section 15A of the Petroleum Act lays out factors for determining whether the applicant is “an appropriate person to hold a permit or licence under the Act,” including the applicant’s compliance with prescribed legislation (whether the applicant has had a license revoked or suspended, record of compliance with the prescribed environmental legislation of any director where the applicant is a corporation. </w:t>
            </w:r>
          </w:p>
          <w:p w14:paraId="2167370C" w14:textId="77777777" w:rsidR="00472715" w:rsidRPr="00520C23" w:rsidRDefault="00472715" w:rsidP="00472715">
            <w:pPr>
              <w:spacing w:before="120"/>
              <w:rPr>
                <w:rFonts w:cstheme="minorHAnsi"/>
              </w:rPr>
            </w:pPr>
            <w:r w:rsidRPr="00520C23">
              <w:rPr>
                <w:rFonts w:cstheme="minorHAnsi"/>
              </w:rPr>
              <w:t>Section 15A(6) lists the prescribed legislation and prescribed environmental legislation. Both of these lists include a catch-call for foreign legislation (“an  Act  of  another  jurisdiction  that  is  similar  in  nature  and  purpose to an Act listed above”).</w:t>
            </w:r>
          </w:p>
          <w:p w14:paraId="3F3C61F0" w14:textId="5C8F980E" w:rsidR="00472715" w:rsidRPr="00520C23" w:rsidRDefault="00472715" w:rsidP="00472715">
            <w:pPr>
              <w:spacing w:before="120"/>
              <w:rPr>
                <w:rFonts w:cstheme="minorHAnsi"/>
              </w:rPr>
            </w:pPr>
            <w:r w:rsidRPr="00520C23">
              <w:rPr>
                <w:rFonts w:cstheme="minorHAnsi"/>
              </w:rPr>
              <w:t>Section 15A(4)</w:t>
            </w:r>
          </w:p>
          <w:p w14:paraId="0BC9459A" w14:textId="2F483D92" w:rsidR="00472715" w:rsidRPr="00520C23" w:rsidRDefault="00472715" w:rsidP="00472715">
            <w:pPr>
              <w:spacing w:before="120"/>
              <w:rPr>
                <w:rFonts w:cstheme="minorHAnsi"/>
              </w:rPr>
            </w:pPr>
            <w:r w:rsidRPr="00520C23">
              <w:rPr>
                <w:rFonts w:cstheme="minorHAnsi"/>
              </w:rPr>
              <w:t>“</w:t>
            </w:r>
            <w:r w:rsidRPr="00520C23">
              <w:rPr>
                <w:rFonts w:cstheme="minorHAnsi"/>
                <w:i/>
                <w:iCs/>
              </w:rPr>
              <w:t>The  Minister  may  require  an  applicant  or  associated  entity  to  provide  more  information  in  relation  to  any  matter  in  order  for  the  Minister   to   determine   whether   the   applicant   or   entity   is   an   appropriate person to hold a permit or licence under this Act.”</w:t>
            </w:r>
          </w:p>
          <w:p w14:paraId="11B7C70A" w14:textId="4EF8F0D8" w:rsidR="00472715" w:rsidRPr="00520C23" w:rsidRDefault="00472715" w:rsidP="00472715">
            <w:pPr>
              <w:spacing w:before="120"/>
              <w:rPr>
                <w:rFonts w:cstheme="minorHAnsi"/>
              </w:rPr>
            </w:pPr>
            <w:r w:rsidRPr="00520C23">
              <w:rPr>
                <w:rFonts w:cstheme="minorHAnsi"/>
              </w:rPr>
              <w:t xml:space="preserve">Section 15A(5) provides for publication: </w:t>
            </w:r>
          </w:p>
          <w:p w14:paraId="349614F7" w14:textId="1E36D756" w:rsidR="00472715" w:rsidRPr="00520C23" w:rsidRDefault="00472715" w:rsidP="00472715">
            <w:pPr>
              <w:spacing w:before="120"/>
              <w:rPr>
                <w:rFonts w:cstheme="minorHAnsi"/>
              </w:rPr>
            </w:pPr>
            <w:r w:rsidRPr="00520C23">
              <w:rPr>
                <w:rFonts w:cstheme="minorHAnsi"/>
              </w:rPr>
              <w:t>“</w:t>
            </w:r>
            <w:r w:rsidRPr="00520C23">
              <w:rPr>
                <w:rFonts w:cstheme="minorHAnsi"/>
                <w:i/>
                <w:iCs/>
              </w:rPr>
              <w:t>The  Minister  must  publish,  on  the  Agency's  website,  the  reasons  why   the   Minister   has   determined   that   an   applicant,   and   any   associated entity of the applicant, is or is not an appropriate person to hold a licence or permit under this Act.</w:t>
            </w:r>
            <w:r w:rsidRPr="00520C23">
              <w:rPr>
                <w:rFonts w:cstheme="minorHAnsi"/>
              </w:rPr>
              <w:t>”</w:t>
            </w:r>
          </w:p>
          <w:p w14:paraId="617D16F1" w14:textId="16E6110B" w:rsidR="00472715" w:rsidRPr="00520C23" w:rsidRDefault="00472715" w:rsidP="00472715">
            <w:pPr>
              <w:spacing w:before="120"/>
              <w:rPr>
                <w:rFonts w:cstheme="minorHAnsi"/>
                <w:u w:val="single"/>
              </w:rPr>
            </w:pPr>
            <w:r w:rsidRPr="00520C23">
              <w:rPr>
                <w:rFonts w:cstheme="minorHAnsi"/>
                <w:u w:val="single"/>
              </w:rPr>
              <w:t>106 Offences generally</w:t>
            </w:r>
          </w:p>
          <w:p w14:paraId="38EFBFCE" w14:textId="2643E883" w:rsidR="00472715" w:rsidRPr="00520C23" w:rsidRDefault="00472715" w:rsidP="00472715">
            <w:pPr>
              <w:pStyle w:val="ListParagraph"/>
              <w:numPr>
                <w:ilvl w:val="3"/>
                <w:numId w:val="69"/>
              </w:numPr>
              <w:spacing w:before="120"/>
              <w:ind w:left="521"/>
              <w:rPr>
                <w:rFonts w:cstheme="minorHAnsi"/>
                <w:i/>
                <w:iCs/>
              </w:rPr>
            </w:pPr>
            <w:r w:rsidRPr="00520C23">
              <w:rPr>
                <w:rFonts w:cstheme="minorHAnsi"/>
                <w:i/>
                <w:iCs/>
              </w:rPr>
              <w:lastRenderedPageBreak/>
              <w:t>A  person  shall  not  contravene  or  fail  to  comply  with  this  Act  or  a  direction or notice under this Act.</w:t>
            </w:r>
          </w:p>
          <w:p w14:paraId="023ED4C1" w14:textId="77777777" w:rsidR="00472715" w:rsidRPr="00520C23" w:rsidRDefault="00472715" w:rsidP="00472715">
            <w:pPr>
              <w:pStyle w:val="ListParagraph"/>
              <w:numPr>
                <w:ilvl w:val="3"/>
                <w:numId w:val="69"/>
              </w:numPr>
              <w:spacing w:before="120"/>
              <w:ind w:left="521"/>
              <w:rPr>
                <w:rFonts w:cstheme="minorHAnsi"/>
                <w:i/>
                <w:iCs/>
              </w:rPr>
            </w:pPr>
            <w:r w:rsidRPr="00520C23">
              <w:rPr>
                <w:rFonts w:cstheme="minorHAnsi"/>
                <w:i/>
                <w:iCs/>
              </w:rPr>
              <w:t xml:space="preserve">A  person  who  contravenes  or  fails  to  comply  with  this  Act  or  a  direction or notice under this Act for which a penalty is not provided by this Act, other than this section, is punishable upon being found guilty by a maximum penalty of: </w:t>
            </w:r>
          </w:p>
          <w:p w14:paraId="7A21B91A" w14:textId="53ACAC9B" w:rsidR="00472715" w:rsidRPr="00520C23" w:rsidRDefault="00472715" w:rsidP="00472715">
            <w:pPr>
              <w:pStyle w:val="ListParagraph"/>
              <w:numPr>
                <w:ilvl w:val="1"/>
                <w:numId w:val="71"/>
              </w:numPr>
              <w:spacing w:before="120"/>
              <w:ind w:left="881"/>
              <w:rPr>
                <w:rFonts w:cstheme="minorHAnsi"/>
                <w:i/>
                <w:iCs/>
              </w:rPr>
            </w:pPr>
            <w:r w:rsidRPr="00520C23">
              <w:rPr>
                <w:rFonts w:cstheme="minorHAnsi"/>
                <w:i/>
                <w:iCs/>
              </w:rPr>
              <w:t>if the offender is a natural person – 100 penalty units; or</w:t>
            </w:r>
          </w:p>
          <w:p w14:paraId="08BBC366" w14:textId="54C5FEC2" w:rsidR="00472715" w:rsidRPr="00520C23" w:rsidRDefault="00472715" w:rsidP="00472715">
            <w:pPr>
              <w:pStyle w:val="ListParagraph"/>
              <w:numPr>
                <w:ilvl w:val="1"/>
                <w:numId w:val="71"/>
              </w:numPr>
              <w:spacing w:before="120"/>
              <w:ind w:left="881"/>
              <w:rPr>
                <w:rFonts w:cstheme="minorHAnsi"/>
                <w:i/>
                <w:iCs/>
              </w:rPr>
            </w:pPr>
            <w:r w:rsidRPr="00520C23">
              <w:rPr>
                <w:rFonts w:cstheme="minorHAnsi"/>
                <w:i/>
                <w:iCs/>
              </w:rPr>
              <w:t>if the offender is a body corporate – 500 penalty units.</w:t>
            </w:r>
          </w:p>
          <w:p w14:paraId="713FF9A2" w14:textId="0488DDF6" w:rsidR="00472715" w:rsidRPr="00520C23" w:rsidRDefault="00472715" w:rsidP="00472715">
            <w:pPr>
              <w:spacing w:before="120"/>
              <w:rPr>
                <w:rFonts w:cstheme="minorHAnsi"/>
              </w:rPr>
            </w:pPr>
          </w:p>
        </w:tc>
        <w:tc>
          <w:tcPr>
            <w:tcW w:w="5310" w:type="dxa"/>
            <w:shd w:val="clear" w:color="auto" w:fill="E2EFD9" w:themeFill="accent6" w:themeFillTint="33"/>
          </w:tcPr>
          <w:p w14:paraId="2B8BB048" w14:textId="0C1FBBE4" w:rsidR="00472715" w:rsidRPr="00520C23" w:rsidRDefault="00472715" w:rsidP="00472715">
            <w:pPr>
              <w:spacing w:before="120"/>
              <w:rPr>
                <w:rFonts w:cstheme="minorHAnsi"/>
              </w:rPr>
            </w:pPr>
            <w:r w:rsidRPr="00520C23">
              <w:rPr>
                <w:rFonts w:cstheme="minorHAnsi"/>
              </w:rPr>
              <w:lastRenderedPageBreak/>
              <w:t xml:space="preserve">Section 15A of the </w:t>
            </w:r>
            <w:r w:rsidRPr="00520C23">
              <w:rPr>
                <w:rFonts w:cstheme="minorHAnsi"/>
                <w:i/>
                <w:iCs/>
              </w:rPr>
              <w:t>Petroleum Act</w:t>
            </w:r>
            <w:r w:rsidRPr="00520C23">
              <w:rPr>
                <w:rFonts w:cstheme="minorHAnsi"/>
              </w:rPr>
              <w:t xml:space="preserve"> </w:t>
            </w:r>
            <w:r w:rsidR="00316A45">
              <w:rPr>
                <w:rFonts w:cstheme="minorHAnsi"/>
                <w:i/>
                <w:iCs/>
              </w:rPr>
              <w:t xml:space="preserve">1984 </w:t>
            </w:r>
            <w:r w:rsidRPr="00520C23">
              <w:rPr>
                <w:rFonts w:cstheme="minorHAnsi"/>
              </w:rPr>
              <w:t xml:space="preserve">adequately addresses recommendation 14.12. </w:t>
            </w:r>
          </w:p>
          <w:p w14:paraId="0DECCE92" w14:textId="103401EE" w:rsidR="00472715" w:rsidRPr="00520C23" w:rsidRDefault="00472715" w:rsidP="00472715">
            <w:pPr>
              <w:spacing w:before="120"/>
              <w:rPr>
                <w:rFonts w:cstheme="minorHAnsi"/>
                <w:i/>
                <w:iCs/>
                <w:u w:val="single"/>
              </w:rPr>
            </w:pPr>
            <w:r w:rsidRPr="00520C23">
              <w:rPr>
                <w:rFonts w:cstheme="minorHAnsi"/>
                <w:i/>
                <w:iCs/>
                <w:u w:val="single"/>
              </w:rPr>
              <w:t>Comments</w:t>
            </w:r>
          </w:p>
          <w:p w14:paraId="3E58AAD2" w14:textId="56336D16" w:rsidR="00472715" w:rsidRPr="00520C23" w:rsidRDefault="00472715" w:rsidP="00472715">
            <w:pPr>
              <w:pStyle w:val="ListParagraph"/>
              <w:numPr>
                <w:ilvl w:val="0"/>
                <w:numId w:val="89"/>
              </w:numPr>
              <w:spacing w:before="120"/>
              <w:rPr>
                <w:rFonts w:cstheme="minorHAnsi"/>
              </w:rPr>
            </w:pPr>
            <w:r w:rsidRPr="00520C23">
              <w:rPr>
                <w:rFonts w:cstheme="minorHAnsi"/>
              </w:rPr>
              <w:t xml:space="preserve">Section 15A(4) read together with Section 106 provides for penalties when an applicant fails to comply with a request for more information as part of the appropriate person test. </w:t>
            </w:r>
          </w:p>
        </w:tc>
      </w:tr>
      <w:tr w:rsidR="00EA3C33" w:rsidRPr="00520C23" w14:paraId="2D9834C7" w14:textId="77777777" w:rsidTr="00EA3C33">
        <w:tc>
          <w:tcPr>
            <w:tcW w:w="846" w:type="dxa"/>
            <w:shd w:val="clear" w:color="auto" w:fill="auto"/>
          </w:tcPr>
          <w:p w14:paraId="4639318B" w14:textId="1C6927AB" w:rsidR="00472715" w:rsidRPr="00520C23" w:rsidRDefault="00472715" w:rsidP="00472715">
            <w:pPr>
              <w:spacing w:before="120"/>
              <w:jc w:val="center"/>
              <w:rPr>
                <w:rFonts w:cstheme="minorHAnsi"/>
              </w:rPr>
            </w:pPr>
            <w:r>
              <w:rPr>
                <w:rFonts w:cstheme="minorHAnsi"/>
              </w:rPr>
              <w:t>14.13</w:t>
            </w:r>
          </w:p>
        </w:tc>
        <w:tc>
          <w:tcPr>
            <w:tcW w:w="4819" w:type="dxa"/>
            <w:shd w:val="clear" w:color="auto" w:fill="auto"/>
          </w:tcPr>
          <w:p w14:paraId="7DDBCB9A" w14:textId="1F7991AD" w:rsidR="00472715" w:rsidRPr="00114AF0" w:rsidRDefault="00472715" w:rsidP="00472715">
            <w:pPr>
              <w:tabs>
                <w:tab w:val="left" w:pos="1207"/>
              </w:tabs>
              <w:spacing w:before="120"/>
              <w:rPr>
                <w:rFonts w:cstheme="minorHAnsi"/>
                <w:i/>
                <w:iCs/>
                <w:lang w:val="en-US"/>
              </w:rPr>
            </w:pPr>
            <w:r w:rsidRPr="00114AF0">
              <w:rPr>
                <w:rFonts w:cstheme="minorHAnsi"/>
                <w:i/>
                <w:iCs/>
                <w:lang w:val="en-US"/>
              </w:rPr>
              <w:t>That prior to the grant of any further production approvals, the Government develops and implements a financial assurance framework for the onshore shale gas industry that:</w:t>
            </w:r>
          </w:p>
          <w:p w14:paraId="741EBDF1" w14:textId="77777777" w:rsidR="00472715" w:rsidRPr="00114AF0" w:rsidRDefault="00472715" w:rsidP="00472715">
            <w:pPr>
              <w:numPr>
                <w:ilvl w:val="0"/>
                <w:numId w:val="109"/>
              </w:numPr>
              <w:tabs>
                <w:tab w:val="left" w:pos="1207"/>
              </w:tabs>
              <w:spacing w:before="120"/>
              <w:rPr>
                <w:rFonts w:cstheme="minorHAnsi"/>
                <w:i/>
                <w:iCs/>
                <w:lang w:val="en-US"/>
              </w:rPr>
            </w:pPr>
            <w:r w:rsidRPr="00114AF0">
              <w:rPr>
                <w:rFonts w:cstheme="minorHAnsi"/>
                <w:i/>
                <w:iCs/>
                <w:lang w:val="en-US"/>
              </w:rPr>
              <w:t>is transparent and is developed in consultation with the community and key stakeholders;</w:t>
            </w:r>
          </w:p>
          <w:p w14:paraId="5A69AF13" w14:textId="77777777" w:rsidR="00472715" w:rsidRPr="00114AF0" w:rsidRDefault="00472715" w:rsidP="00472715">
            <w:pPr>
              <w:numPr>
                <w:ilvl w:val="0"/>
                <w:numId w:val="109"/>
              </w:numPr>
              <w:tabs>
                <w:tab w:val="left" w:pos="1207"/>
              </w:tabs>
              <w:spacing w:before="120"/>
              <w:rPr>
                <w:rFonts w:cstheme="minorHAnsi"/>
                <w:i/>
                <w:iCs/>
                <w:lang w:val="en-US"/>
              </w:rPr>
            </w:pPr>
            <w:r w:rsidRPr="00114AF0">
              <w:rPr>
                <w:rFonts w:cstheme="minorHAnsi"/>
                <w:i/>
                <w:iCs/>
                <w:lang w:val="en-US"/>
              </w:rPr>
              <w:t>clarifies the activities that require a bond or security to be in place and describe how the amount of the bond or security is calculated; and</w:t>
            </w:r>
          </w:p>
          <w:p w14:paraId="236E54BB" w14:textId="77777777" w:rsidR="00472715" w:rsidRPr="00114AF0" w:rsidRDefault="00472715" w:rsidP="00472715">
            <w:pPr>
              <w:numPr>
                <w:ilvl w:val="0"/>
                <w:numId w:val="109"/>
              </w:numPr>
              <w:tabs>
                <w:tab w:val="left" w:pos="1207"/>
              </w:tabs>
              <w:spacing w:before="120"/>
              <w:rPr>
                <w:rFonts w:cstheme="minorHAnsi"/>
                <w:i/>
                <w:iCs/>
                <w:lang w:val="en-US"/>
              </w:rPr>
            </w:pPr>
            <w:r w:rsidRPr="00114AF0">
              <w:rPr>
                <w:rFonts w:cstheme="minorHAnsi"/>
                <w:i/>
                <w:iCs/>
                <w:lang w:val="en-US"/>
              </w:rPr>
              <w:t>requires the public disclosure of all financial assurances and the calculation methodology.</w:t>
            </w:r>
          </w:p>
          <w:p w14:paraId="1B2E829B" w14:textId="5AB541D4" w:rsidR="00472715" w:rsidRPr="00114AF0" w:rsidRDefault="00472715" w:rsidP="00472715">
            <w:pPr>
              <w:tabs>
                <w:tab w:val="left" w:pos="1207"/>
              </w:tabs>
              <w:spacing w:before="120"/>
              <w:rPr>
                <w:rFonts w:cstheme="minorHAnsi"/>
                <w:i/>
                <w:iCs/>
                <w:lang w:val="en-US"/>
              </w:rPr>
            </w:pPr>
          </w:p>
        </w:tc>
        <w:tc>
          <w:tcPr>
            <w:tcW w:w="5760" w:type="dxa"/>
            <w:shd w:val="clear" w:color="auto" w:fill="auto"/>
          </w:tcPr>
          <w:p w14:paraId="62460033" w14:textId="77777777" w:rsidR="00472715" w:rsidRPr="004E018A" w:rsidRDefault="00472715" w:rsidP="00472715">
            <w:pPr>
              <w:spacing w:before="120"/>
              <w:rPr>
                <w:rFonts w:cstheme="minorHAnsi"/>
                <w:lang w:val="en-US"/>
              </w:rPr>
            </w:pPr>
            <w:r w:rsidRPr="004E018A">
              <w:rPr>
                <w:rFonts w:cstheme="minorHAnsi"/>
                <w:lang w:val="en-US"/>
              </w:rPr>
              <w:t>The Petroleum Legislation Miscellaneous Amendments Bill 2019 was passed in the Legislative Assembly on 24 March 2020 and assented to on 30 March 2020. The </w:t>
            </w:r>
            <w:r w:rsidRPr="004E018A">
              <w:rPr>
                <w:rFonts w:cstheme="minorHAnsi"/>
                <w:i/>
                <w:iCs/>
                <w:lang w:val="en-US"/>
              </w:rPr>
              <w:t>Petroleum Act 1984</w:t>
            </w:r>
            <w:r w:rsidRPr="004E018A">
              <w:rPr>
                <w:rFonts w:cstheme="minorHAnsi"/>
                <w:lang w:val="en-US"/>
              </w:rPr>
              <w:t> was amended to allow regulations to be made to in relation to environmental securities including the calculation of that security.</w:t>
            </w:r>
          </w:p>
          <w:p w14:paraId="32828137" w14:textId="77777777" w:rsidR="00472715" w:rsidRPr="004E018A" w:rsidRDefault="00472715" w:rsidP="00472715">
            <w:pPr>
              <w:spacing w:before="120"/>
              <w:rPr>
                <w:rFonts w:cstheme="minorHAnsi"/>
                <w:lang w:val="en-US"/>
              </w:rPr>
            </w:pPr>
            <w:r w:rsidRPr="004E018A">
              <w:rPr>
                <w:rFonts w:cstheme="minorHAnsi"/>
                <w:lang w:val="en-US"/>
              </w:rPr>
              <w:t>The Petroleum Legislation Amendment Bill 2022 was introduced in the Legislative Assembly on 12 October 2022, passed on 1 December 2022 and assented to on 16 December 2022. Refer to </w:t>
            </w:r>
            <w:hyperlink r:id="rId90" w:history="1">
              <w:r w:rsidRPr="004E018A">
                <w:rPr>
                  <w:rStyle w:val="Hyperlink"/>
                  <w:rFonts w:cstheme="minorHAnsi"/>
                  <w:lang w:val="en-US"/>
                </w:rPr>
                <w:t>Special Gazette S64 PDF (182.5 KB)</w:t>
              </w:r>
            </w:hyperlink>
            <w:r w:rsidRPr="004E018A">
              <w:rPr>
                <w:rFonts w:cstheme="minorHAnsi"/>
                <w:lang w:val="en-US"/>
              </w:rPr>
              <w:t> published on 19 December 2022.</w:t>
            </w:r>
          </w:p>
          <w:p w14:paraId="53A3E8E8" w14:textId="77777777" w:rsidR="00472715" w:rsidRPr="004E018A" w:rsidRDefault="00472715" w:rsidP="00472715">
            <w:pPr>
              <w:spacing w:before="120"/>
              <w:rPr>
                <w:rFonts w:cstheme="minorHAnsi"/>
                <w:lang w:val="en-US"/>
              </w:rPr>
            </w:pPr>
            <w:r w:rsidRPr="004E018A">
              <w:rPr>
                <w:rFonts w:cstheme="minorHAnsi"/>
                <w:lang w:val="en-US"/>
              </w:rPr>
              <w:t>Amendments to the </w:t>
            </w:r>
            <w:r w:rsidRPr="004E018A">
              <w:rPr>
                <w:rFonts w:cstheme="minorHAnsi"/>
                <w:i/>
                <w:iCs/>
                <w:lang w:val="en-US"/>
              </w:rPr>
              <w:t>Petroleum Act</w:t>
            </w:r>
            <w:r w:rsidRPr="004E018A">
              <w:rPr>
                <w:rFonts w:cstheme="minorHAnsi"/>
                <w:lang w:val="en-US"/>
              </w:rPr>
              <w:t> will provide for a comprehensive financial assurance framework introducing mandatory environmental remediation and petroleum infrastructure decommissioning securities as well as mandatory insurance requirements for all petroleum interests.</w:t>
            </w:r>
          </w:p>
          <w:p w14:paraId="522AE286" w14:textId="77777777" w:rsidR="00472715" w:rsidRPr="004E018A" w:rsidRDefault="00472715" w:rsidP="00472715">
            <w:pPr>
              <w:spacing w:before="120"/>
              <w:rPr>
                <w:rFonts w:cstheme="minorHAnsi"/>
                <w:lang w:val="en-US"/>
              </w:rPr>
            </w:pPr>
            <w:r w:rsidRPr="004E018A">
              <w:rPr>
                <w:rFonts w:cstheme="minorHAnsi"/>
                <w:lang w:val="en-US"/>
              </w:rPr>
              <w:t>The Bill establishes that the Minister may determine the form of security required after taking into account any relevant direction of the Treasurer. Examples of acceptable security provided include cash bonds, bank guarantees or surety bonds.</w:t>
            </w:r>
          </w:p>
          <w:p w14:paraId="52410B24" w14:textId="77777777" w:rsidR="00472715" w:rsidRPr="004E018A" w:rsidRDefault="00472715" w:rsidP="00472715">
            <w:pPr>
              <w:spacing w:before="120"/>
              <w:rPr>
                <w:rFonts w:cstheme="minorHAnsi"/>
                <w:lang w:val="en-US"/>
              </w:rPr>
            </w:pPr>
            <w:r w:rsidRPr="004E018A">
              <w:rPr>
                <w:rFonts w:cstheme="minorHAnsi"/>
                <w:lang w:val="en-US"/>
              </w:rPr>
              <w:t>The Bill requires that all securities held by Government be published on its website, along with the calculator or methodologies used to determine the security.</w:t>
            </w:r>
          </w:p>
          <w:p w14:paraId="6255375E" w14:textId="77777777" w:rsidR="00472715" w:rsidRPr="00114AF0" w:rsidRDefault="00472715" w:rsidP="00472715">
            <w:pPr>
              <w:spacing w:before="120"/>
              <w:rPr>
                <w:rFonts w:cstheme="minorHAnsi"/>
                <w:lang w:val="en-US"/>
              </w:rPr>
            </w:pPr>
          </w:p>
        </w:tc>
        <w:tc>
          <w:tcPr>
            <w:tcW w:w="5670" w:type="dxa"/>
            <w:shd w:val="clear" w:color="auto" w:fill="auto"/>
          </w:tcPr>
          <w:p w14:paraId="0BB8AE25" w14:textId="4D47B61B" w:rsidR="00472715" w:rsidRDefault="00472715" w:rsidP="00472715">
            <w:pPr>
              <w:spacing w:before="120"/>
              <w:rPr>
                <w:rFonts w:cstheme="minorHAnsi"/>
              </w:rPr>
            </w:pPr>
            <w:r w:rsidRPr="00F92672">
              <w:rPr>
                <w:rFonts w:cstheme="minorHAnsi"/>
                <w:i/>
                <w:iCs/>
              </w:rPr>
              <w:t>See</w:t>
            </w:r>
            <w:r>
              <w:rPr>
                <w:rFonts w:cstheme="minorHAnsi"/>
                <w:i/>
                <w:iCs/>
              </w:rPr>
              <w:t xml:space="preserve"> </w:t>
            </w:r>
            <w:r>
              <w:rPr>
                <w:rFonts w:cstheme="minorHAnsi"/>
              </w:rPr>
              <w:t>Petroleum Legislation Amendment Bill, Amendment of Petroleum Act 1984 at</w:t>
            </w:r>
            <w:r>
              <w:rPr>
                <w:rFonts w:cstheme="minorHAnsi"/>
                <w:b/>
                <w:bCs/>
                <w:i/>
                <w:iCs/>
              </w:rPr>
              <w:t xml:space="preserve"> </w:t>
            </w:r>
            <w:r w:rsidRPr="00F92672">
              <w:rPr>
                <w:rFonts w:cstheme="minorHAnsi"/>
              </w:rPr>
              <w:t>Division 2 on Environmental securities, Sections 117AQ – AU</w:t>
            </w:r>
            <w:r>
              <w:rPr>
                <w:rFonts w:cstheme="minorHAnsi"/>
              </w:rPr>
              <w:t>,</w:t>
            </w:r>
            <w:r w:rsidRPr="00F92672">
              <w:rPr>
                <w:rFonts w:cstheme="minorHAnsi"/>
              </w:rPr>
              <w:t xml:space="preserve"> Division 3 on Petroleum infrastructure decommissioning securities, Sections 117AV – AZ</w:t>
            </w:r>
            <w:r>
              <w:rPr>
                <w:rFonts w:cstheme="minorHAnsi"/>
              </w:rPr>
              <w:t>, and Division 4, Sections 117AZA – ZD.</w:t>
            </w:r>
          </w:p>
          <w:p w14:paraId="7A3A00CA" w14:textId="254E48E3" w:rsidR="00472715" w:rsidRPr="00AF366F" w:rsidRDefault="00472715" w:rsidP="00472715">
            <w:pPr>
              <w:spacing w:before="120"/>
              <w:rPr>
                <w:rFonts w:cstheme="minorHAnsi"/>
                <w:b/>
                <w:bCs/>
              </w:rPr>
            </w:pPr>
            <w:r>
              <w:rPr>
                <w:rFonts w:cstheme="minorHAnsi"/>
                <w:i/>
                <w:iCs/>
              </w:rPr>
              <w:t>See</w:t>
            </w:r>
            <w:r w:rsidRPr="004E018A">
              <w:rPr>
                <w:rFonts w:cstheme="minorHAnsi"/>
                <w:lang w:val="en-US"/>
              </w:rPr>
              <w:t xml:space="preserve"> Petroleum Legislation Miscellaneous Amendments Bill 2019</w:t>
            </w:r>
            <w:r>
              <w:rPr>
                <w:rFonts w:cstheme="minorHAnsi"/>
                <w:lang w:val="en-US"/>
              </w:rPr>
              <w:t>, Amendment of Petroleum Act 1984,</w:t>
            </w:r>
            <w:r>
              <w:rPr>
                <w:rFonts w:cstheme="minorHAnsi"/>
                <w:i/>
                <w:iCs/>
              </w:rPr>
              <w:t xml:space="preserve"> </w:t>
            </w:r>
            <w:r>
              <w:rPr>
                <w:rFonts w:cstheme="minorHAnsi"/>
              </w:rPr>
              <w:t xml:space="preserve">Section 118(6B). </w:t>
            </w:r>
          </w:p>
        </w:tc>
        <w:tc>
          <w:tcPr>
            <w:tcW w:w="5310" w:type="dxa"/>
            <w:shd w:val="clear" w:color="auto" w:fill="E2EFD9" w:themeFill="accent6" w:themeFillTint="33"/>
          </w:tcPr>
          <w:p w14:paraId="1E3D37F3" w14:textId="2A4F74B4" w:rsidR="00472715" w:rsidRPr="00A80831" w:rsidRDefault="00472715" w:rsidP="00472715">
            <w:pPr>
              <w:spacing w:before="120"/>
              <w:rPr>
                <w:rFonts w:cstheme="minorHAnsi"/>
              </w:rPr>
            </w:pPr>
            <w:r>
              <w:rPr>
                <w:rFonts w:cstheme="minorHAnsi"/>
              </w:rPr>
              <w:t xml:space="preserve">This recommendation has been fully implemented. </w:t>
            </w:r>
          </w:p>
        </w:tc>
      </w:tr>
      <w:tr w:rsidR="00EA3C33" w:rsidRPr="00520C23" w14:paraId="5A5C796F" w14:textId="77777777" w:rsidTr="00EA3C33">
        <w:tc>
          <w:tcPr>
            <w:tcW w:w="846" w:type="dxa"/>
            <w:shd w:val="clear" w:color="auto" w:fill="auto"/>
          </w:tcPr>
          <w:p w14:paraId="0FBB4EDE" w14:textId="6D961A63" w:rsidR="00472715" w:rsidRDefault="00472715" w:rsidP="00472715">
            <w:pPr>
              <w:spacing w:before="120"/>
              <w:jc w:val="center"/>
              <w:rPr>
                <w:rFonts w:cstheme="minorHAnsi"/>
              </w:rPr>
            </w:pPr>
            <w:r>
              <w:rPr>
                <w:rFonts w:cstheme="minorHAnsi"/>
              </w:rPr>
              <w:t>14.14</w:t>
            </w:r>
          </w:p>
        </w:tc>
        <w:tc>
          <w:tcPr>
            <w:tcW w:w="4819" w:type="dxa"/>
            <w:shd w:val="clear" w:color="auto" w:fill="auto"/>
          </w:tcPr>
          <w:p w14:paraId="1FCD5937" w14:textId="44D473B3" w:rsidR="00472715" w:rsidRPr="00114AF0" w:rsidRDefault="00472715" w:rsidP="00472715">
            <w:pPr>
              <w:tabs>
                <w:tab w:val="left" w:pos="1207"/>
              </w:tabs>
              <w:spacing w:before="120"/>
              <w:rPr>
                <w:rFonts w:cstheme="minorHAnsi"/>
                <w:i/>
                <w:iCs/>
                <w:lang w:val="en-US"/>
              </w:rPr>
            </w:pPr>
            <w:r w:rsidRPr="004B0F10">
              <w:rPr>
                <w:rFonts w:cstheme="minorHAnsi"/>
                <w:i/>
                <w:iCs/>
              </w:rPr>
              <w:t>That prior to the grant of any further production approvals, the Government imposes a non-refundable levy for the long-term monitoring, management and remediation of abandoned onshore shale gas wells in the NT.</w:t>
            </w:r>
          </w:p>
        </w:tc>
        <w:tc>
          <w:tcPr>
            <w:tcW w:w="5760" w:type="dxa"/>
            <w:shd w:val="clear" w:color="auto" w:fill="auto"/>
          </w:tcPr>
          <w:p w14:paraId="4127AE38" w14:textId="77777777" w:rsidR="00472715" w:rsidRPr="004B0F10" w:rsidRDefault="00472715" w:rsidP="00472715">
            <w:pPr>
              <w:spacing w:before="120"/>
              <w:rPr>
                <w:rFonts w:cstheme="minorHAnsi"/>
                <w:lang w:val="en-US"/>
              </w:rPr>
            </w:pPr>
            <w:r w:rsidRPr="004B0F10">
              <w:rPr>
                <w:rFonts w:cstheme="minorHAnsi"/>
                <w:lang w:val="en-US"/>
              </w:rPr>
              <w:t>The Petroleum Legislation Amendment Bill 2022 was introduced in the Legislative Assembly on 12 October 2022, passed on 1 December 2022 and assented to on 16 December 2022. Refer to </w:t>
            </w:r>
            <w:hyperlink r:id="rId91" w:history="1">
              <w:r w:rsidRPr="004B0F10">
                <w:rPr>
                  <w:rStyle w:val="Hyperlink"/>
                  <w:rFonts w:cstheme="minorHAnsi"/>
                  <w:lang w:val="en-US"/>
                </w:rPr>
                <w:t>Special Gazette S64 PDF (182.5 KB)</w:t>
              </w:r>
            </w:hyperlink>
            <w:r w:rsidRPr="004B0F10">
              <w:rPr>
                <w:rFonts w:cstheme="minorHAnsi"/>
                <w:lang w:val="en-US"/>
              </w:rPr>
              <w:t> published on 19 December 2022.</w:t>
            </w:r>
          </w:p>
          <w:p w14:paraId="2A536DBE" w14:textId="77777777" w:rsidR="00472715" w:rsidRPr="004B0F10" w:rsidRDefault="00472715" w:rsidP="00472715">
            <w:pPr>
              <w:spacing w:before="120"/>
              <w:rPr>
                <w:rFonts w:cstheme="minorHAnsi"/>
                <w:lang w:val="en-US"/>
              </w:rPr>
            </w:pPr>
            <w:r w:rsidRPr="004B0F10">
              <w:rPr>
                <w:rFonts w:cstheme="minorHAnsi"/>
                <w:lang w:val="en-US"/>
              </w:rPr>
              <w:t>New and revised cost recovery charges will be implemented when amendments to the </w:t>
            </w:r>
            <w:r w:rsidRPr="004B0F10">
              <w:rPr>
                <w:rFonts w:cstheme="minorHAnsi"/>
                <w:i/>
                <w:iCs/>
                <w:lang w:val="en-US"/>
              </w:rPr>
              <w:t>Petroleum Act 1984</w:t>
            </w:r>
            <w:r w:rsidRPr="004B0F10">
              <w:rPr>
                <w:rFonts w:cstheme="minorHAnsi"/>
                <w:lang w:val="en-US"/>
              </w:rPr>
              <w:t> and the Petroleum Regulations 2020 commence in 2023.</w:t>
            </w:r>
          </w:p>
          <w:p w14:paraId="5DA5CBDE" w14:textId="77777777" w:rsidR="00472715" w:rsidRPr="004B0F10" w:rsidRDefault="00472715" w:rsidP="00472715">
            <w:pPr>
              <w:spacing w:before="120"/>
              <w:rPr>
                <w:rFonts w:cstheme="minorHAnsi"/>
                <w:lang w:val="en-US"/>
              </w:rPr>
            </w:pPr>
            <w:r w:rsidRPr="004B0F10">
              <w:rPr>
                <w:rFonts w:cstheme="minorHAnsi"/>
                <w:lang w:val="en-US"/>
              </w:rPr>
              <w:lastRenderedPageBreak/>
              <w:t>Amendments to the </w:t>
            </w:r>
            <w:r w:rsidRPr="004B0F10">
              <w:rPr>
                <w:rFonts w:cstheme="minorHAnsi"/>
                <w:i/>
                <w:iCs/>
                <w:lang w:val="en-US"/>
              </w:rPr>
              <w:t>Petroleum Act</w:t>
            </w:r>
            <w:r w:rsidRPr="004B0F10">
              <w:rPr>
                <w:rFonts w:cstheme="minorHAnsi"/>
                <w:lang w:val="en-US"/>
              </w:rPr>
              <w:t> and </w:t>
            </w:r>
            <w:r w:rsidRPr="004B0F10">
              <w:rPr>
                <w:rFonts w:cstheme="minorHAnsi"/>
                <w:i/>
                <w:iCs/>
                <w:lang w:val="en-US"/>
              </w:rPr>
              <w:t>Petroleum Regulations 2020</w:t>
            </w:r>
            <w:r w:rsidRPr="004B0F10">
              <w:rPr>
                <w:rFonts w:cstheme="minorHAnsi"/>
                <w:lang w:val="en-US"/>
              </w:rPr>
              <w:t> will provide for a new orphan well levy and orphan well fund.</w:t>
            </w:r>
          </w:p>
          <w:p w14:paraId="3C8AE62E" w14:textId="77777777" w:rsidR="00472715" w:rsidRPr="004B0F10" w:rsidRDefault="00472715" w:rsidP="00472715">
            <w:pPr>
              <w:spacing w:before="120"/>
              <w:rPr>
                <w:rFonts w:cstheme="minorHAnsi"/>
                <w:lang w:val="en-US"/>
              </w:rPr>
            </w:pPr>
            <w:r w:rsidRPr="004B0F10">
              <w:rPr>
                <w:rFonts w:cstheme="minorHAnsi"/>
                <w:lang w:val="en-US"/>
              </w:rPr>
              <w:t>The Bill establishes that the charge will be applied annually, per graticular block within a petroleum title. The amount payable per graticular block will start at 84 revenue units (or a number specified by regulation) increasing by 15 revenue units per year until the 2034-35 financial year and each subsequent financial year when it is set at 234 revenue units.</w:t>
            </w:r>
          </w:p>
          <w:p w14:paraId="37AD4715" w14:textId="77777777" w:rsidR="00472715" w:rsidRPr="004B0F10" w:rsidRDefault="00472715" w:rsidP="00472715">
            <w:pPr>
              <w:spacing w:before="120"/>
              <w:rPr>
                <w:rFonts w:cstheme="minorHAnsi"/>
                <w:lang w:val="en-US"/>
              </w:rPr>
            </w:pPr>
            <w:r w:rsidRPr="004B0F10">
              <w:rPr>
                <w:rFonts w:cstheme="minorHAnsi"/>
                <w:lang w:val="en-US"/>
              </w:rPr>
              <w:t>The amounts charged will be accrued in a dedicated ‘orphan well fund’. Monies will be used exclusively to monitor and ensure the integrity of orphan wells in the Territory.</w:t>
            </w:r>
          </w:p>
          <w:p w14:paraId="0D8CB857" w14:textId="77777777" w:rsidR="00472715" w:rsidRPr="004B0F10" w:rsidRDefault="00472715" w:rsidP="00472715">
            <w:pPr>
              <w:spacing w:before="120"/>
              <w:rPr>
                <w:rFonts w:cstheme="minorHAnsi"/>
                <w:lang w:val="en-US"/>
              </w:rPr>
            </w:pPr>
            <w:r w:rsidRPr="004B0F10">
              <w:rPr>
                <w:rFonts w:cstheme="minorHAnsi"/>
                <w:lang w:val="en-US"/>
              </w:rPr>
              <w:t>The Bill establishes that each financial year the Minister must publish the amount of orphan well levy collected as well as the opening and closing balances for the Orphan Well Fund. An outline of works undertaken in the previous financial year must also be published. The levy will be payable from 1 July 2023.</w:t>
            </w:r>
          </w:p>
          <w:p w14:paraId="23E46029" w14:textId="77777777" w:rsidR="00472715" w:rsidRPr="004E018A" w:rsidRDefault="00472715" w:rsidP="00472715">
            <w:pPr>
              <w:spacing w:before="120"/>
              <w:rPr>
                <w:rFonts w:cstheme="minorHAnsi"/>
                <w:lang w:val="en-US"/>
              </w:rPr>
            </w:pPr>
          </w:p>
        </w:tc>
        <w:tc>
          <w:tcPr>
            <w:tcW w:w="5670" w:type="dxa"/>
            <w:shd w:val="clear" w:color="auto" w:fill="auto"/>
          </w:tcPr>
          <w:p w14:paraId="3E950BEA" w14:textId="77777777" w:rsidR="001912C8" w:rsidRDefault="001912C8" w:rsidP="00472715">
            <w:pPr>
              <w:spacing w:before="120"/>
              <w:rPr>
                <w:rFonts w:cstheme="minorHAnsi"/>
                <w:b/>
                <w:bCs/>
              </w:rPr>
            </w:pPr>
            <w:r w:rsidRPr="001912C8">
              <w:rPr>
                <w:rFonts w:cstheme="minorHAnsi"/>
                <w:b/>
                <w:bCs/>
              </w:rPr>
              <w:lastRenderedPageBreak/>
              <w:t xml:space="preserve">Amendment of Petroleum Act 1984 </w:t>
            </w:r>
          </w:p>
          <w:p w14:paraId="2CEDD6D9" w14:textId="34F88F0F" w:rsidR="00472715" w:rsidRPr="0089610D" w:rsidRDefault="00472715" w:rsidP="00472715">
            <w:pPr>
              <w:spacing w:before="120"/>
              <w:rPr>
                <w:rFonts w:cstheme="minorHAnsi"/>
                <w:b/>
                <w:bCs/>
              </w:rPr>
            </w:pPr>
            <w:r w:rsidRPr="0089610D">
              <w:rPr>
                <w:rFonts w:cstheme="minorHAnsi"/>
                <w:b/>
                <w:bCs/>
              </w:rPr>
              <w:t>117AZM   Orphan well levy</w:t>
            </w:r>
          </w:p>
          <w:p w14:paraId="3E0C4741" w14:textId="77777777" w:rsidR="00472715" w:rsidRDefault="00472715" w:rsidP="00472715">
            <w:pPr>
              <w:spacing w:before="120"/>
              <w:rPr>
                <w:rFonts w:cstheme="minorHAnsi"/>
              </w:rPr>
            </w:pPr>
            <w:r w:rsidRPr="003B51B3">
              <w:rPr>
                <w:rFonts w:cstheme="minorHAnsi"/>
              </w:rPr>
              <w:t>(1) There is an orphan well levy.</w:t>
            </w:r>
          </w:p>
          <w:p w14:paraId="06693C00" w14:textId="77777777" w:rsidR="00472715" w:rsidRDefault="00472715" w:rsidP="00472715">
            <w:pPr>
              <w:spacing w:before="120"/>
              <w:rPr>
                <w:rFonts w:cstheme="minorHAnsi"/>
              </w:rPr>
            </w:pPr>
            <w:r w:rsidRPr="003B51B3">
              <w:rPr>
                <w:rFonts w:cstheme="minorHAnsi"/>
              </w:rPr>
              <w:t>(2) The levy is imposed to provide funding for the following purposes:</w:t>
            </w:r>
          </w:p>
          <w:p w14:paraId="5AD77F36" w14:textId="77777777" w:rsidR="00472715" w:rsidRDefault="00472715" w:rsidP="00472715">
            <w:pPr>
              <w:spacing w:before="120"/>
              <w:ind w:left="342"/>
              <w:rPr>
                <w:rFonts w:cstheme="minorHAnsi"/>
              </w:rPr>
            </w:pPr>
            <w:r w:rsidRPr="003B51B3">
              <w:rPr>
                <w:rFonts w:cstheme="minorHAnsi"/>
              </w:rPr>
              <w:t>(a) monitoring and assessing the integrity of orphan wells;</w:t>
            </w:r>
          </w:p>
          <w:p w14:paraId="0C8F2242" w14:textId="4E8B0BC5" w:rsidR="00472715" w:rsidRDefault="00472715" w:rsidP="00472715">
            <w:pPr>
              <w:spacing w:before="120"/>
              <w:ind w:left="342"/>
              <w:rPr>
                <w:rFonts w:cstheme="minorHAnsi"/>
              </w:rPr>
            </w:pPr>
            <w:r w:rsidRPr="003B51B3">
              <w:rPr>
                <w:rFonts w:cstheme="minorHAnsi"/>
              </w:rPr>
              <w:lastRenderedPageBreak/>
              <w:t>(b) obtaining expert reports relating to th</w:t>
            </w:r>
            <w:r>
              <w:rPr>
                <w:rFonts w:cstheme="minorHAnsi"/>
              </w:rPr>
              <w:t>e</w:t>
            </w:r>
            <w:r w:rsidRPr="003B51B3">
              <w:rPr>
                <w:rFonts w:cstheme="minorHAnsi"/>
              </w:rPr>
              <w:t xml:space="preserve"> integrity of an  orphan well;</w:t>
            </w:r>
          </w:p>
          <w:p w14:paraId="1F5FBEA1" w14:textId="0E240F2D" w:rsidR="00472715" w:rsidRDefault="00472715" w:rsidP="00472715">
            <w:pPr>
              <w:spacing w:before="120"/>
              <w:ind w:left="342"/>
              <w:rPr>
                <w:rFonts w:cstheme="minorHAnsi"/>
              </w:rPr>
            </w:pPr>
            <w:r w:rsidRPr="003B51B3">
              <w:rPr>
                <w:rFonts w:cstheme="minorHAnsi"/>
              </w:rPr>
              <w:t>(c)</w:t>
            </w:r>
            <w:r>
              <w:rPr>
                <w:rFonts w:cstheme="minorHAnsi"/>
              </w:rPr>
              <w:t xml:space="preserve"> </w:t>
            </w:r>
            <w:r w:rsidRPr="003B51B3">
              <w:rPr>
                <w:rFonts w:cstheme="minorHAnsi"/>
              </w:rPr>
              <w:t>performing, or engaging appropriately qualified persons to perform, maintenance work on orphan wells;</w:t>
            </w:r>
          </w:p>
          <w:p w14:paraId="57C8F576" w14:textId="1F418DF0" w:rsidR="00472715" w:rsidRDefault="00472715" w:rsidP="00472715">
            <w:pPr>
              <w:spacing w:before="120"/>
              <w:ind w:left="342"/>
              <w:rPr>
                <w:rFonts w:cstheme="minorHAnsi"/>
              </w:rPr>
            </w:pPr>
            <w:r w:rsidRPr="003B51B3">
              <w:rPr>
                <w:rFonts w:cstheme="minorHAnsi"/>
              </w:rPr>
              <w:t>(d) preparing remediation plans to rectif</w:t>
            </w:r>
            <w:r>
              <w:rPr>
                <w:rFonts w:cstheme="minorHAnsi"/>
              </w:rPr>
              <w:t>y</w:t>
            </w:r>
            <w:r w:rsidRPr="003B51B3">
              <w:rPr>
                <w:rFonts w:cstheme="minorHAnsi"/>
              </w:rPr>
              <w:t xml:space="preserve"> the loss of integrity of orphan</w:t>
            </w:r>
            <w:r>
              <w:rPr>
                <w:rFonts w:cstheme="minorHAnsi"/>
              </w:rPr>
              <w:t xml:space="preserve"> </w:t>
            </w:r>
            <w:r w:rsidRPr="003B51B3">
              <w:rPr>
                <w:rFonts w:cstheme="minorHAnsi"/>
              </w:rPr>
              <w:t>wells;</w:t>
            </w:r>
          </w:p>
          <w:p w14:paraId="61120184" w14:textId="61FE5CE0" w:rsidR="00472715" w:rsidRDefault="00472715" w:rsidP="00472715">
            <w:pPr>
              <w:spacing w:before="120"/>
              <w:ind w:left="342"/>
              <w:rPr>
                <w:rFonts w:cstheme="minorHAnsi"/>
              </w:rPr>
            </w:pPr>
            <w:r w:rsidRPr="003B51B3">
              <w:rPr>
                <w:rFonts w:cstheme="minorHAnsi"/>
              </w:rPr>
              <w:t>(e) carrying out work to rectify the loss of integrity of an orphan well;</w:t>
            </w:r>
          </w:p>
          <w:p w14:paraId="307D6213" w14:textId="77777777" w:rsidR="00472715" w:rsidRDefault="00472715" w:rsidP="00472715">
            <w:pPr>
              <w:spacing w:before="120"/>
              <w:ind w:left="342"/>
              <w:rPr>
                <w:rFonts w:cstheme="minorHAnsi"/>
              </w:rPr>
            </w:pPr>
            <w:r w:rsidRPr="003B51B3">
              <w:rPr>
                <w:rFonts w:cstheme="minorHAnsi"/>
              </w:rPr>
              <w:t>(f)   undertaking well and infrastructure decommissioning;</w:t>
            </w:r>
          </w:p>
          <w:p w14:paraId="17A338BB" w14:textId="09B8075A" w:rsidR="00472715" w:rsidRDefault="00472715" w:rsidP="00472715">
            <w:pPr>
              <w:spacing w:before="120"/>
              <w:ind w:left="342"/>
              <w:rPr>
                <w:rFonts w:cstheme="minorHAnsi"/>
              </w:rPr>
            </w:pPr>
            <w:r w:rsidRPr="0032684C">
              <w:rPr>
                <w:rFonts w:cstheme="minorHAnsi"/>
              </w:rPr>
              <w:t>(g)</w:t>
            </w:r>
            <w:r>
              <w:rPr>
                <w:rFonts w:cstheme="minorHAnsi"/>
              </w:rPr>
              <w:t xml:space="preserve"> </w:t>
            </w:r>
            <w:r w:rsidRPr="0032684C">
              <w:rPr>
                <w:rFonts w:cstheme="minorHAnsi"/>
              </w:rPr>
              <w:t>undertaking other work and activities appropriate in    connection with the orphan wells.</w:t>
            </w:r>
          </w:p>
          <w:p w14:paraId="2E6DCE0B" w14:textId="77777777" w:rsidR="00472715" w:rsidRDefault="00472715" w:rsidP="00472715">
            <w:pPr>
              <w:spacing w:before="120"/>
              <w:rPr>
                <w:rFonts w:cstheme="minorHAnsi"/>
              </w:rPr>
            </w:pPr>
            <w:r w:rsidRPr="0032684C">
              <w:rPr>
                <w:rFonts w:cstheme="minorHAnsi"/>
              </w:rPr>
              <w:t>(3) The levy is payable in relation to each financial year.</w:t>
            </w:r>
          </w:p>
          <w:p w14:paraId="23AF3452" w14:textId="6556B17F" w:rsidR="00472715" w:rsidRDefault="00472715" w:rsidP="00472715">
            <w:pPr>
              <w:spacing w:before="120"/>
              <w:rPr>
                <w:rFonts w:cstheme="minorHAnsi"/>
              </w:rPr>
            </w:pPr>
            <w:r w:rsidRPr="0032684C">
              <w:rPr>
                <w:rFonts w:cstheme="minorHAnsi"/>
              </w:rPr>
              <w:t xml:space="preserve">(4) The levy is imposed from the beginning of </w:t>
            </w:r>
            <w:r>
              <w:rPr>
                <w:rFonts w:cstheme="minorHAnsi"/>
              </w:rPr>
              <w:t>t</w:t>
            </w:r>
            <w:r w:rsidRPr="0032684C">
              <w:rPr>
                <w:rFonts w:cstheme="minorHAnsi"/>
              </w:rPr>
              <w:t>he 2023/2024 financial year.</w:t>
            </w:r>
          </w:p>
          <w:p w14:paraId="401965A7" w14:textId="77777777" w:rsidR="00472715" w:rsidRDefault="00472715" w:rsidP="00472715">
            <w:pPr>
              <w:spacing w:before="120"/>
              <w:rPr>
                <w:rFonts w:cstheme="minorHAnsi"/>
              </w:rPr>
            </w:pPr>
            <w:r w:rsidRPr="0032684C">
              <w:rPr>
                <w:rFonts w:cstheme="minorHAnsi"/>
              </w:rPr>
              <w:t>(5) The levy is payable to the Minister.</w:t>
            </w:r>
          </w:p>
          <w:p w14:paraId="090A1F2E" w14:textId="77777777" w:rsidR="00472715" w:rsidRDefault="00472715" w:rsidP="00472715">
            <w:pPr>
              <w:spacing w:before="120"/>
              <w:rPr>
                <w:rFonts w:cstheme="minorHAnsi"/>
              </w:rPr>
            </w:pPr>
            <w:r w:rsidRPr="0032684C">
              <w:rPr>
                <w:rFonts w:cstheme="minorHAnsi"/>
              </w:rPr>
              <w:t>(6) Any unpaid levy may be recovered as a debt due and payable to the Territory.</w:t>
            </w:r>
          </w:p>
          <w:p w14:paraId="0A96FB88" w14:textId="77777777" w:rsidR="00472715" w:rsidRPr="0089610D" w:rsidRDefault="00472715" w:rsidP="00472715">
            <w:pPr>
              <w:spacing w:before="120"/>
              <w:rPr>
                <w:rFonts w:cstheme="minorHAnsi"/>
                <w:b/>
                <w:bCs/>
              </w:rPr>
            </w:pPr>
            <w:r w:rsidRPr="0089610D">
              <w:rPr>
                <w:rFonts w:cstheme="minorHAnsi"/>
                <w:b/>
                <w:bCs/>
              </w:rPr>
              <w:t>117AZN Liability for orphan well levy</w:t>
            </w:r>
          </w:p>
          <w:p w14:paraId="73391289" w14:textId="77777777" w:rsidR="00472715" w:rsidRDefault="00472715" w:rsidP="00472715">
            <w:pPr>
              <w:spacing w:before="120"/>
              <w:rPr>
                <w:rFonts w:cstheme="minorHAnsi"/>
              </w:rPr>
            </w:pPr>
            <w:r w:rsidRPr="00B13C57">
              <w:rPr>
                <w:rFonts w:cstheme="minorHAnsi"/>
              </w:rPr>
              <w:t>Each interest holder is liable to pay the orphan well levy.</w:t>
            </w:r>
          </w:p>
          <w:p w14:paraId="2394163C" w14:textId="77777777" w:rsidR="00472715" w:rsidRPr="0089610D" w:rsidRDefault="00472715" w:rsidP="00472715">
            <w:pPr>
              <w:spacing w:before="120"/>
              <w:rPr>
                <w:rFonts w:cstheme="minorHAnsi"/>
                <w:b/>
                <w:bCs/>
              </w:rPr>
            </w:pPr>
            <w:r w:rsidRPr="0089610D">
              <w:rPr>
                <w:rFonts w:cstheme="minorHAnsi"/>
                <w:b/>
                <w:bCs/>
              </w:rPr>
              <w:t>117AZS   Payment into Fund</w:t>
            </w:r>
          </w:p>
          <w:p w14:paraId="22A4AE6C" w14:textId="5C891981" w:rsidR="00472715" w:rsidRDefault="00472715" w:rsidP="00472715">
            <w:pPr>
              <w:spacing w:before="120"/>
              <w:rPr>
                <w:rFonts w:cstheme="minorHAnsi"/>
              </w:rPr>
            </w:pPr>
            <w:r w:rsidRPr="0089610D">
              <w:rPr>
                <w:rFonts w:cstheme="minorHAnsi"/>
              </w:rPr>
              <w:t>The Minister must pay money received i</w:t>
            </w:r>
            <w:r>
              <w:rPr>
                <w:rFonts w:cstheme="minorHAnsi"/>
              </w:rPr>
              <w:t>n</w:t>
            </w:r>
            <w:r w:rsidRPr="0089610D">
              <w:rPr>
                <w:rFonts w:cstheme="minorHAnsi"/>
              </w:rPr>
              <w:t xml:space="preserve"> payment of the</w:t>
            </w:r>
            <w:r>
              <w:rPr>
                <w:rFonts w:cstheme="minorHAnsi"/>
              </w:rPr>
              <w:t xml:space="preserve"> </w:t>
            </w:r>
            <w:r w:rsidRPr="0089610D">
              <w:rPr>
                <w:rFonts w:cstheme="minorHAnsi"/>
              </w:rPr>
              <w:t>orphan well levy into the Orphan Well Fund.</w:t>
            </w:r>
          </w:p>
          <w:p w14:paraId="5738022C" w14:textId="77777777" w:rsidR="00472715" w:rsidRDefault="00472715" w:rsidP="00472715">
            <w:pPr>
              <w:spacing w:before="120"/>
              <w:rPr>
                <w:rFonts w:cstheme="minorHAnsi"/>
              </w:rPr>
            </w:pPr>
            <w:r w:rsidRPr="00D40DCC">
              <w:rPr>
                <w:rFonts w:cstheme="minorHAnsi"/>
              </w:rPr>
              <w:t xml:space="preserve">117AZT   Establishment of Fund </w:t>
            </w:r>
          </w:p>
          <w:p w14:paraId="7813235D" w14:textId="136650D7" w:rsidR="00472715" w:rsidRDefault="00472715" w:rsidP="00472715">
            <w:pPr>
              <w:spacing w:before="120"/>
              <w:rPr>
                <w:rFonts w:cstheme="minorHAnsi"/>
              </w:rPr>
            </w:pPr>
            <w:r w:rsidRPr="00D40DCC">
              <w:rPr>
                <w:rFonts w:cstheme="minorHAnsi"/>
              </w:rPr>
              <w:t xml:space="preserve">(1) The Orphan Well Fund must be established under the Financial Management Act 1995. </w:t>
            </w:r>
          </w:p>
          <w:p w14:paraId="57ABAED0" w14:textId="77777777" w:rsidR="00472715" w:rsidRDefault="00472715" w:rsidP="00472715">
            <w:pPr>
              <w:spacing w:before="120"/>
              <w:rPr>
                <w:rFonts w:cstheme="minorHAnsi"/>
              </w:rPr>
            </w:pPr>
            <w:r w:rsidRPr="00D40DCC">
              <w:rPr>
                <w:rFonts w:cstheme="minorHAnsi"/>
              </w:rPr>
              <w:t xml:space="preserve">(2) The regulations may deal with matters relevant to the Fund. </w:t>
            </w:r>
          </w:p>
          <w:p w14:paraId="66449349" w14:textId="77777777" w:rsidR="00472715" w:rsidRDefault="00472715" w:rsidP="00472715">
            <w:pPr>
              <w:spacing w:before="120"/>
              <w:rPr>
                <w:rFonts w:cstheme="minorHAnsi"/>
              </w:rPr>
            </w:pPr>
            <w:r w:rsidRPr="00D40DCC">
              <w:rPr>
                <w:rFonts w:cstheme="minorHAnsi"/>
              </w:rPr>
              <w:t>(3) The purpose of the Fund is to hold money in trust to be used by the Minister for purposes for which the orphan well levy is imposed.</w:t>
            </w:r>
          </w:p>
          <w:p w14:paraId="283BD451" w14:textId="77777777" w:rsidR="00472715" w:rsidRPr="00884488" w:rsidRDefault="00472715" w:rsidP="00472715">
            <w:pPr>
              <w:spacing w:before="120"/>
              <w:rPr>
                <w:rFonts w:cstheme="minorHAnsi"/>
                <w:b/>
                <w:bCs/>
              </w:rPr>
            </w:pPr>
            <w:r w:rsidRPr="00884488">
              <w:rPr>
                <w:rFonts w:cstheme="minorHAnsi"/>
                <w:b/>
                <w:bCs/>
              </w:rPr>
              <w:t xml:space="preserve">117AZU   Publication of information </w:t>
            </w:r>
          </w:p>
          <w:p w14:paraId="7D57FF03" w14:textId="77777777" w:rsidR="00472715" w:rsidRDefault="00472715" w:rsidP="00472715">
            <w:pPr>
              <w:spacing w:before="120"/>
              <w:rPr>
                <w:rFonts w:cstheme="minorHAnsi"/>
              </w:rPr>
            </w:pPr>
            <w:r w:rsidRPr="00D40DCC">
              <w:rPr>
                <w:rFonts w:cstheme="minorHAnsi"/>
              </w:rPr>
              <w:t>The Minister must publish on the Agency's website, within 3 months after the end of each financial year, the following information:</w:t>
            </w:r>
          </w:p>
          <w:p w14:paraId="7E4F65A7" w14:textId="77777777" w:rsidR="00472715" w:rsidRDefault="00472715" w:rsidP="00472715">
            <w:pPr>
              <w:spacing w:before="120"/>
              <w:ind w:left="252"/>
              <w:rPr>
                <w:rFonts w:cstheme="minorHAnsi"/>
              </w:rPr>
            </w:pPr>
            <w:r w:rsidRPr="00D40DCC">
              <w:rPr>
                <w:rFonts w:cstheme="minorHAnsi"/>
              </w:rPr>
              <w:t>(a) the amount of orphan well levy collected for that financial year;</w:t>
            </w:r>
          </w:p>
          <w:p w14:paraId="087E957C" w14:textId="77777777" w:rsidR="00472715" w:rsidRDefault="00472715" w:rsidP="00472715">
            <w:pPr>
              <w:spacing w:before="120"/>
              <w:ind w:left="252"/>
              <w:rPr>
                <w:rFonts w:cstheme="minorHAnsi"/>
              </w:rPr>
            </w:pPr>
            <w:r w:rsidRPr="00D40DCC">
              <w:rPr>
                <w:rFonts w:cstheme="minorHAnsi"/>
              </w:rPr>
              <w:t>(b) the opening and closing balances of the Orphan Well Fund for that financial year;</w:t>
            </w:r>
          </w:p>
          <w:p w14:paraId="0A620AAB" w14:textId="32AD615C" w:rsidR="00472715" w:rsidRDefault="00472715" w:rsidP="00472715">
            <w:pPr>
              <w:spacing w:before="120"/>
              <w:ind w:left="252"/>
              <w:rPr>
                <w:rFonts w:cstheme="minorHAnsi"/>
              </w:rPr>
            </w:pPr>
            <w:r w:rsidRPr="00D40DCC">
              <w:rPr>
                <w:rFonts w:cstheme="minorHAnsi"/>
              </w:rPr>
              <w:t>(c)</w:t>
            </w:r>
            <w:r>
              <w:rPr>
                <w:rFonts w:cstheme="minorHAnsi"/>
              </w:rPr>
              <w:t xml:space="preserve"> </w:t>
            </w:r>
            <w:r w:rsidRPr="00D40DCC">
              <w:rPr>
                <w:rFonts w:cstheme="minorHAnsi"/>
              </w:rPr>
              <w:t>an outline of the work and activities funded from the Orphan Well Fund during that financial year.</w:t>
            </w:r>
          </w:p>
          <w:p w14:paraId="0B49BBD2" w14:textId="33A6D777" w:rsidR="00472715" w:rsidRPr="003B51B3" w:rsidRDefault="00472715" w:rsidP="00472715">
            <w:pPr>
              <w:spacing w:before="120"/>
              <w:rPr>
                <w:rFonts w:cstheme="minorHAnsi"/>
              </w:rPr>
            </w:pPr>
          </w:p>
        </w:tc>
        <w:tc>
          <w:tcPr>
            <w:tcW w:w="5310" w:type="dxa"/>
            <w:shd w:val="clear" w:color="auto" w:fill="E2EFD9" w:themeFill="accent6" w:themeFillTint="33"/>
          </w:tcPr>
          <w:p w14:paraId="26B7203D" w14:textId="016C4645" w:rsidR="00472715" w:rsidRPr="00520C23" w:rsidRDefault="00472715" w:rsidP="00472715">
            <w:pPr>
              <w:spacing w:before="120"/>
              <w:rPr>
                <w:rFonts w:cstheme="minorHAnsi"/>
              </w:rPr>
            </w:pPr>
            <w:r>
              <w:rPr>
                <w:rFonts w:cstheme="minorHAnsi"/>
              </w:rPr>
              <w:lastRenderedPageBreak/>
              <w:t xml:space="preserve">This recommendation has been fully implemented through the changes made to the </w:t>
            </w:r>
            <w:r w:rsidRPr="00DE2BF3">
              <w:rPr>
                <w:rFonts w:cstheme="minorHAnsi"/>
                <w:i/>
                <w:iCs/>
              </w:rPr>
              <w:t>Petroleum Act 1984</w:t>
            </w:r>
            <w:r>
              <w:rPr>
                <w:rFonts w:cstheme="minorHAnsi"/>
              </w:rPr>
              <w:t>, as detailed in the Petroleum Legislation Amendment Bill 2022.</w:t>
            </w:r>
          </w:p>
        </w:tc>
      </w:tr>
      <w:tr w:rsidR="00EA3C33" w:rsidRPr="00520C23" w14:paraId="22723917" w14:textId="133AD6BD" w:rsidTr="00EA3C33">
        <w:tc>
          <w:tcPr>
            <w:tcW w:w="846" w:type="dxa"/>
            <w:shd w:val="clear" w:color="auto" w:fill="auto"/>
          </w:tcPr>
          <w:p w14:paraId="19E6FC75" w14:textId="77777777" w:rsidR="00472715" w:rsidRPr="00520C23" w:rsidRDefault="00472715" w:rsidP="00472715">
            <w:pPr>
              <w:spacing w:before="120"/>
              <w:jc w:val="center"/>
              <w:rPr>
                <w:rFonts w:cstheme="minorHAnsi"/>
              </w:rPr>
            </w:pPr>
            <w:r w:rsidRPr="00520C23">
              <w:rPr>
                <w:rFonts w:cstheme="minorHAnsi"/>
              </w:rPr>
              <w:lastRenderedPageBreak/>
              <w:t>14.15</w:t>
            </w:r>
          </w:p>
        </w:tc>
        <w:tc>
          <w:tcPr>
            <w:tcW w:w="4819" w:type="dxa"/>
            <w:shd w:val="clear" w:color="auto" w:fill="auto"/>
          </w:tcPr>
          <w:p w14:paraId="5489213E" w14:textId="29A59519"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w:t>
            </w:r>
            <w:r w:rsidRPr="00520C23">
              <w:rPr>
                <w:rFonts w:cstheme="minorHAnsi"/>
                <w:b/>
                <w:bCs/>
                <w:i/>
                <w:iCs/>
              </w:rPr>
              <w:t>all draft EMPs</w:t>
            </w:r>
            <w:r w:rsidRPr="00520C23">
              <w:rPr>
                <w:rFonts w:cstheme="minorHAnsi"/>
                <w:i/>
                <w:iCs/>
              </w:rPr>
              <w:t xml:space="preserve"> for hydraulic fracturing </w:t>
            </w:r>
            <w:r w:rsidRPr="00520C23">
              <w:rPr>
                <w:rFonts w:cstheme="minorHAnsi"/>
                <w:b/>
                <w:bCs/>
                <w:i/>
                <w:iCs/>
              </w:rPr>
              <w:t>must be published in print and online</w:t>
            </w:r>
            <w:r w:rsidRPr="00520C23">
              <w:rPr>
                <w:rFonts w:cstheme="minorHAnsi"/>
                <w:i/>
                <w:iCs/>
              </w:rPr>
              <w:t xml:space="preserve"> and </w:t>
            </w:r>
            <w:r w:rsidRPr="00520C23">
              <w:rPr>
                <w:rFonts w:cstheme="minorHAnsi"/>
                <w:b/>
                <w:bCs/>
                <w:i/>
                <w:iCs/>
              </w:rPr>
              <w:t>available for public comment</w:t>
            </w:r>
            <w:r w:rsidRPr="00520C23">
              <w:rPr>
                <w:rFonts w:cstheme="minorHAnsi"/>
                <w:i/>
                <w:iCs/>
              </w:rPr>
              <w:t xml:space="preserve"> prior to Ministerial approval.</w:t>
            </w:r>
          </w:p>
          <w:p w14:paraId="798B272D" w14:textId="5055AA1C" w:rsidR="00472715" w:rsidRPr="00520C23" w:rsidRDefault="00472715" w:rsidP="00472715">
            <w:pPr>
              <w:spacing w:before="120"/>
              <w:rPr>
                <w:rFonts w:cstheme="minorHAnsi"/>
                <w:i/>
                <w:iCs/>
              </w:rPr>
            </w:pPr>
            <w:r w:rsidRPr="00520C23">
              <w:rPr>
                <w:rFonts w:cstheme="minorHAnsi"/>
                <w:i/>
                <w:iCs/>
              </w:rPr>
              <w:t>That all comments made on draft EMPs must be published online.</w:t>
            </w:r>
          </w:p>
          <w:p w14:paraId="20EF96A0" w14:textId="5C3D50F9" w:rsidR="00472715" w:rsidRPr="00520C23" w:rsidRDefault="00472715" w:rsidP="00472715">
            <w:pPr>
              <w:spacing w:before="120"/>
              <w:rPr>
                <w:rFonts w:cstheme="minorHAnsi"/>
                <w:i/>
                <w:iCs/>
              </w:rPr>
            </w:pPr>
            <w:r w:rsidRPr="00520C23">
              <w:rPr>
                <w:rFonts w:cstheme="minorHAnsi"/>
                <w:i/>
                <w:iCs/>
              </w:rPr>
              <w:t xml:space="preserve">That the Minister </w:t>
            </w:r>
            <w:r w:rsidRPr="00520C23">
              <w:rPr>
                <w:rFonts w:cstheme="minorHAnsi"/>
                <w:b/>
                <w:bCs/>
                <w:i/>
                <w:iCs/>
              </w:rPr>
              <w:t>must take into account comments</w:t>
            </w:r>
            <w:r w:rsidRPr="00520C23">
              <w:rPr>
                <w:rFonts w:cstheme="minorHAnsi"/>
                <w:i/>
                <w:iCs/>
              </w:rPr>
              <w:t xml:space="preserve"> received during the public consultation period when assessing a draft EMP. </w:t>
            </w:r>
          </w:p>
        </w:tc>
        <w:tc>
          <w:tcPr>
            <w:tcW w:w="5760" w:type="dxa"/>
            <w:shd w:val="clear" w:color="auto" w:fill="auto"/>
          </w:tcPr>
          <w:p w14:paraId="178F5581" w14:textId="310106B9" w:rsidR="00472715" w:rsidRPr="00FE25C0" w:rsidRDefault="00472715" w:rsidP="00472715">
            <w:pPr>
              <w:spacing w:before="120"/>
            </w:pPr>
            <w:r w:rsidRPr="00520C23">
              <w:rPr>
                <w:rFonts w:ascii="Calibri" w:eastAsia="Calibri" w:hAnsi="Calibri" w:cs="Calibri"/>
                <w:color w:val="313131"/>
              </w:rPr>
              <w:t>Petroleum (Environment) Regulations 2016 were amended on 19 December 2018 to meet the requirements of this recommendation.</w:t>
            </w:r>
          </w:p>
          <w:p w14:paraId="76111CBF" w14:textId="68923CBC" w:rsidR="00472715" w:rsidRPr="00520C23" w:rsidRDefault="00472715" w:rsidP="00472715">
            <w:pPr>
              <w:spacing w:before="120"/>
            </w:pPr>
            <w:r w:rsidRPr="00520C23">
              <w:rPr>
                <w:rFonts w:ascii="Calibri" w:eastAsia="Calibri" w:hAnsi="Calibri" w:cs="Calibri"/>
                <w:color w:val="313131"/>
              </w:rPr>
              <w:t>All draft Environment Management Plans seeking Minister's consideration for drilling of petroleum wells and hydraulic fracturing activities must be advertised for a 28 day public comment period; comments received must be published online; and the Minister must take into account all comments received before making a decision on the draft Environment Management Plan.</w:t>
            </w:r>
          </w:p>
          <w:p w14:paraId="1762F6A6" w14:textId="7CAA8832" w:rsidR="00472715" w:rsidRPr="00520C23" w:rsidRDefault="00472715" w:rsidP="00472715">
            <w:pPr>
              <w:spacing w:before="120"/>
              <w:rPr>
                <w:b/>
                <w:bCs/>
                <w:i/>
                <w:iCs/>
              </w:rPr>
            </w:pPr>
          </w:p>
        </w:tc>
        <w:tc>
          <w:tcPr>
            <w:tcW w:w="5670" w:type="dxa"/>
            <w:shd w:val="clear" w:color="auto" w:fill="auto"/>
          </w:tcPr>
          <w:p w14:paraId="3AD20710" w14:textId="7ABD8E5A" w:rsidR="00472715" w:rsidRPr="00520C23" w:rsidRDefault="00472715" w:rsidP="00472715">
            <w:pPr>
              <w:spacing w:before="120"/>
              <w:rPr>
                <w:rFonts w:cstheme="minorHAnsi"/>
              </w:rPr>
            </w:pPr>
            <w:r w:rsidRPr="00520C23">
              <w:rPr>
                <w:rFonts w:cstheme="minorHAnsi"/>
                <w:b/>
                <w:i/>
                <w:iCs/>
              </w:rPr>
              <w:t>Petroleum (Environment) Regulations</w:t>
            </w:r>
            <w:r w:rsidRPr="00520C23">
              <w:rPr>
                <w:rFonts w:cstheme="minorHAnsi"/>
              </w:rPr>
              <w:t xml:space="preserve"> amendment </w:t>
            </w:r>
            <w:r w:rsidR="00002187">
              <w:rPr>
                <w:rFonts w:cstheme="minorHAnsi"/>
              </w:rPr>
              <w:t xml:space="preserve">addresses publication of </w:t>
            </w:r>
            <w:r w:rsidR="00CD4946">
              <w:rPr>
                <w:rFonts w:cstheme="minorHAnsi"/>
              </w:rPr>
              <w:t>EMPs and public comment</w:t>
            </w:r>
            <w:r w:rsidRPr="00520C23">
              <w:rPr>
                <w:rFonts w:cstheme="minorHAnsi"/>
              </w:rPr>
              <w:t xml:space="preserve">. See clause 8A generally. </w:t>
            </w:r>
          </w:p>
          <w:p w14:paraId="4D4DB86C" w14:textId="77777777" w:rsidR="00472715" w:rsidRPr="00520C23" w:rsidRDefault="00472715" w:rsidP="00472715">
            <w:pPr>
              <w:spacing w:before="120"/>
              <w:rPr>
                <w:rFonts w:cstheme="minorHAnsi"/>
                <w:u w:val="single"/>
              </w:rPr>
            </w:pPr>
            <w:r w:rsidRPr="00520C23">
              <w:rPr>
                <w:rFonts w:cstheme="minorHAnsi"/>
                <w:u w:val="single"/>
              </w:rPr>
              <w:t xml:space="preserve">8A Publishing certain plans for comment </w:t>
            </w:r>
          </w:p>
          <w:p w14:paraId="39A8EEF0" w14:textId="77777777" w:rsidR="00472715" w:rsidRPr="00520C23" w:rsidRDefault="00472715" w:rsidP="00472715">
            <w:pPr>
              <w:spacing w:before="120"/>
              <w:rPr>
                <w:rFonts w:cstheme="minorHAnsi"/>
                <w:i/>
                <w:iCs/>
              </w:rPr>
            </w:pPr>
            <w:r w:rsidRPr="00520C23">
              <w:rPr>
                <w:rFonts w:cstheme="minorHAnsi"/>
              </w:rPr>
              <w:t xml:space="preserve">(1) </w:t>
            </w:r>
            <w:r w:rsidRPr="00520C23">
              <w:rPr>
                <w:rFonts w:cstheme="minorHAnsi"/>
                <w:i/>
                <w:iCs/>
              </w:rPr>
              <w:t xml:space="preserve">The Minister must publish an environment management plan if: </w:t>
            </w:r>
          </w:p>
          <w:p w14:paraId="20E32FA7" w14:textId="77777777" w:rsidR="00472715" w:rsidRPr="00520C23" w:rsidRDefault="00472715" w:rsidP="00472715">
            <w:pPr>
              <w:spacing w:before="120"/>
              <w:ind w:left="720"/>
              <w:rPr>
                <w:rFonts w:cstheme="minorHAnsi"/>
                <w:i/>
                <w:iCs/>
              </w:rPr>
            </w:pPr>
            <w:r w:rsidRPr="00520C23">
              <w:rPr>
                <w:rFonts w:cstheme="minorHAnsi"/>
                <w:i/>
                <w:iCs/>
              </w:rPr>
              <w:t xml:space="preserve">(a) the plan is submitted to the Minister under regulation 6; and </w:t>
            </w:r>
          </w:p>
          <w:p w14:paraId="46A7D190" w14:textId="77777777" w:rsidR="00472715" w:rsidRPr="00520C23" w:rsidRDefault="00472715" w:rsidP="00472715">
            <w:pPr>
              <w:spacing w:before="120"/>
              <w:ind w:left="720"/>
              <w:rPr>
                <w:rFonts w:cstheme="minorHAnsi"/>
                <w:i/>
                <w:iCs/>
              </w:rPr>
            </w:pPr>
            <w:r w:rsidRPr="00520C23">
              <w:rPr>
                <w:rFonts w:cstheme="minorHAnsi"/>
                <w:i/>
                <w:iCs/>
              </w:rPr>
              <w:t xml:space="preserve">(b) the plan relates to the drilling of a well or to hydraulic fracturing; and </w:t>
            </w:r>
          </w:p>
          <w:p w14:paraId="2F1F6E7C" w14:textId="77777777" w:rsidR="00472715" w:rsidRPr="00520C23" w:rsidRDefault="00472715" w:rsidP="00472715">
            <w:pPr>
              <w:spacing w:before="120"/>
              <w:ind w:left="720"/>
              <w:rPr>
                <w:rFonts w:cstheme="minorHAnsi"/>
                <w:i/>
                <w:iCs/>
              </w:rPr>
            </w:pPr>
            <w:r w:rsidRPr="00520C23">
              <w:rPr>
                <w:rFonts w:cstheme="minorHAnsi"/>
                <w:i/>
                <w:iCs/>
              </w:rPr>
              <w:t xml:space="preserve">(c) the plan complies with regulation 8. </w:t>
            </w:r>
          </w:p>
          <w:p w14:paraId="63DE5779" w14:textId="77777777" w:rsidR="00472715" w:rsidRPr="00520C23" w:rsidRDefault="00472715" w:rsidP="00472715">
            <w:pPr>
              <w:spacing w:before="120"/>
              <w:rPr>
                <w:rFonts w:cstheme="minorHAnsi"/>
                <w:i/>
                <w:iCs/>
              </w:rPr>
            </w:pPr>
            <w:r w:rsidRPr="00520C23">
              <w:rPr>
                <w:rFonts w:cstheme="minorHAnsi"/>
                <w:i/>
                <w:iCs/>
              </w:rPr>
              <w:t xml:space="preserve">(2) The plan must be published, in any manner the Minister considers appropriate, within 14 days of the Minister receiving the plan. </w:t>
            </w:r>
          </w:p>
          <w:p w14:paraId="63CEA149" w14:textId="77777777" w:rsidR="00472715" w:rsidRPr="00520C23" w:rsidRDefault="00472715" w:rsidP="00472715">
            <w:pPr>
              <w:spacing w:before="120"/>
              <w:rPr>
                <w:rFonts w:cstheme="minorHAnsi"/>
                <w:i/>
                <w:iCs/>
              </w:rPr>
            </w:pPr>
            <w:r w:rsidRPr="00520C23">
              <w:rPr>
                <w:rFonts w:cstheme="minorHAnsi"/>
                <w:i/>
                <w:iCs/>
              </w:rPr>
              <w:t xml:space="preserve">(3) The requirement to publish does not apply to: </w:t>
            </w:r>
          </w:p>
          <w:p w14:paraId="090E4FAE" w14:textId="77777777" w:rsidR="00472715" w:rsidRPr="00520C23" w:rsidRDefault="00472715" w:rsidP="00472715">
            <w:pPr>
              <w:spacing w:before="120"/>
              <w:ind w:left="720"/>
              <w:rPr>
                <w:rFonts w:cstheme="minorHAnsi"/>
                <w:i/>
                <w:iCs/>
              </w:rPr>
            </w:pPr>
            <w:r w:rsidRPr="00520C23">
              <w:rPr>
                <w:rFonts w:cstheme="minorHAnsi"/>
                <w:i/>
                <w:iCs/>
              </w:rPr>
              <w:t xml:space="preserve">(a) information received under regulation 10 [Minister may require further information]; or </w:t>
            </w:r>
          </w:p>
          <w:p w14:paraId="051377BE" w14:textId="77777777" w:rsidR="00472715" w:rsidRPr="00520C23" w:rsidRDefault="00472715" w:rsidP="00472715">
            <w:pPr>
              <w:spacing w:before="120"/>
              <w:ind w:left="720"/>
              <w:rPr>
                <w:rFonts w:cstheme="minorHAnsi"/>
                <w:i/>
                <w:iCs/>
              </w:rPr>
            </w:pPr>
            <w:r w:rsidRPr="00520C23">
              <w:rPr>
                <w:rFonts w:cstheme="minorHAnsi"/>
                <w:i/>
                <w:iCs/>
              </w:rPr>
              <w:t xml:space="preserve">(b) a modified plan submitted under regulation 11 [Approval of plan, refusal to approve and other actions, which permits the Minister to allow the submission of a modified plan where the original does not meet the approval criteria]; or </w:t>
            </w:r>
          </w:p>
          <w:p w14:paraId="56E569F9" w14:textId="77777777" w:rsidR="00472715" w:rsidRPr="00520C23" w:rsidRDefault="00472715" w:rsidP="00472715">
            <w:pPr>
              <w:spacing w:before="120"/>
              <w:ind w:left="720"/>
              <w:rPr>
                <w:rFonts w:cstheme="minorHAnsi"/>
                <w:i/>
                <w:iCs/>
              </w:rPr>
            </w:pPr>
            <w:r w:rsidRPr="00520C23">
              <w:rPr>
                <w:rFonts w:cstheme="minorHAnsi"/>
                <w:i/>
                <w:iCs/>
              </w:rPr>
              <w:t xml:space="preserve">(c) a plan that relates to the drilling of a water bore. </w:t>
            </w:r>
          </w:p>
          <w:p w14:paraId="3A1F46E8" w14:textId="77777777" w:rsidR="00472715" w:rsidRPr="00520C23" w:rsidRDefault="00472715" w:rsidP="00472715">
            <w:pPr>
              <w:spacing w:before="120"/>
              <w:rPr>
                <w:rFonts w:cstheme="minorHAnsi"/>
                <w:i/>
                <w:iCs/>
              </w:rPr>
            </w:pPr>
            <w:r w:rsidRPr="00520C23">
              <w:rPr>
                <w:rFonts w:cstheme="minorHAnsi"/>
                <w:i/>
                <w:iCs/>
              </w:rPr>
              <w:t xml:space="preserve">(4) The Minister must publish, with the plan, a notice stating the following: </w:t>
            </w:r>
          </w:p>
          <w:p w14:paraId="5CEFF6C4" w14:textId="77777777" w:rsidR="00472715" w:rsidRPr="00520C23" w:rsidRDefault="00472715" w:rsidP="00472715">
            <w:pPr>
              <w:spacing w:before="120"/>
              <w:ind w:left="720"/>
              <w:rPr>
                <w:rFonts w:cstheme="minorHAnsi"/>
                <w:i/>
                <w:iCs/>
              </w:rPr>
            </w:pPr>
            <w:r w:rsidRPr="00520C23">
              <w:rPr>
                <w:rFonts w:cstheme="minorHAnsi"/>
                <w:i/>
                <w:iCs/>
              </w:rPr>
              <w:t xml:space="preserve">(a) that the plan is published for public comment; </w:t>
            </w:r>
          </w:p>
          <w:p w14:paraId="7CDA97CA" w14:textId="77777777" w:rsidR="00472715" w:rsidRPr="00520C23" w:rsidRDefault="00472715" w:rsidP="00472715">
            <w:pPr>
              <w:spacing w:before="120"/>
              <w:ind w:left="720"/>
              <w:rPr>
                <w:rFonts w:cstheme="minorHAnsi"/>
                <w:i/>
                <w:iCs/>
              </w:rPr>
            </w:pPr>
            <w:r w:rsidRPr="00520C23">
              <w:rPr>
                <w:rFonts w:cstheme="minorHAnsi"/>
                <w:i/>
                <w:iCs/>
              </w:rPr>
              <w:t xml:space="preserve">(b) that interested persons may submit written comments on the plan to the Minister no later than 28 days after the date of its publication; </w:t>
            </w:r>
          </w:p>
          <w:p w14:paraId="68FE115F" w14:textId="77777777" w:rsidR="00472715" w:rsidRPr="00520C23" w:rsidRDefault="00472715" w:rsidP="00472715">
            <w:pPr>
              <w:spacing w:before="120"/>
              <w:ind w:left="720"/>
              <w:rPr>
                <w:rFonts w:cstheme="minorHAnsi"/>
                <w:i/>
                <w:iCs/>
              </w:rPr>
            </w:pPr>
            <w:r w:rsidRPr="00520C23">
              <w:rPr>
                <w:rFonts w:cstheme="minorHAnsi"/>
                <w:i/>
                <w:iCs/>
              </w:rPr>
              <w:t xml:space="preserve">(c) the address to which comments may be sent or delivered; </w:t>
            </w:r>
          </w:p>
          <w:p w14:paraId="75ED666A" w14:textId="77777777" w:rsidR="00472715" w:rsidRPr="00520C23" w:rsidRDefault="00472715" w:rsidP="00472715">
            <w:pPr>
              <w:spacing w:before="120"/>
              <w:ind w:left="720"/>
              <w:rPr>
                <w:rFonts w:cstheme="minorHAnsi"/>
                <w:i/>
                <w:iCs/>
              </w:rPr>
            </w:pPr>
            <w:r w:rsidRPr="00520C23">
              <w:rPr>
                <w:rFonts w:cstheme="minorHAnsi"/>
                <w:i/>
                <w:iCs/>
              </w:rPr>
              <w:t>(d) that all comments received will be published.</w:t>
            </w:r>
          </w:p>
          <w:p w14:paraId="2F7EE8D8" w14:textId="77777777" w:rsidR="00472715" w:rsidRPr="00520C23" w:rsidRDefault="00472715" w:rsidP="00472715">
            <w:pPr>
              <w:spacing w:before="120"/>
              <w:rPr>
                <w:rFonts w:cstheme="minorHAnsi"/>
                <w:i/>
                <w:iCs/>
              </w:rPr>
            </w:pPr>
            <w:r w:rsidRPr="00520C23">
              <w:rPr>
                <w:rFonts w:cstheme="minorHAnsi"/>
                <w:i/>
                <w:iCs/>
              </w:rPr>
              <w:t xml:space="preserve">(5) In publishing a plan, the Minister: </w:t>
            </w:r>
          </w:p>
          <w:p w14:paraId="32B77585" w14:textId="77777777" w:rsidR="00472715" w:rsidRPr="00520C23" w:rsidRDefault="00472715" w:rsidP="00472715">
            <w:pPr>
              <w:spacing w:before="120"/>
              <w:ind w:left="720"/>
              <w:rPr>
                <w:rFonts w:cstheme="minorHAnsi"/>
                <w:i/>
                <w:iCs/>
              </w:rPr>
            </w:pPr>
            <w:r w:rsidRPr="00520C23">
              <w:rPr>
                <w:rFonts w:cstheme="minorHAnsi"/>
                <w:i/>
                <w:iCs/>
              </w:rPr>
              <w:t xml:space="preserve">(a) must withhold from the public information of a commercially confidential nature; and </w:t>
            </w:r>
          </w:p>
          <w:p w14:paraId="43243AFE" w14:textId="77777777" w:rsidR="00472715" w:rsidRPr="00520C23" w:rsidRDefault="00472715" w:rsidP="00472715">
            <w:pPr>
              <w:spacing w:before="120"/>
              <w:ind w:left="720"/>
              <w:rPr>
                <w:rFonts w:cstheme="minorHAnsi"/>
                <w:i/>
                <w:iCs/>
              </w:rPr>
            </w:pPr>
            <w:r w:rsidRPr="00520C23">
              <w:rPr>
                <w:rFonts w:cstheme="minorHAnsi"/>
                <w:i/>
                <w:iCs/>
              </w:rPr>
              <w:t xml:space="preserve">(b) may withhold other information from the public if satisfied there are reasonable grounds for doing so. </w:t>
            </w:r>
          </w:p>
          <w:p w14:paraId="37351784" w14:textId="15963046" w:rsidR="00472715" w:rsidRPr="00520C23" w:rsidRDefault="00472715" w:rsidP="00472715">
            <w:pPr>
              <w:spacing w:before="120"/>
              <w:rPr>
                <w:rFonts w:cstheme="minorHAnsi"/>
                <w:u w:val="single"/>
              </w:rPr>
            </w:pPr>
            <w:r w:rsidRPr="00520C23">
              <w:rPr>
                <w:rFonts w:cstheme="minorHAnsi"/>
                <w:u w:val="single"/>
              </w:rPr>
              <w:t xml:space="preserve">8B Public comments on plan </w:t>
            </w:r>
          </w:p>
          <w:p w14:paraId="7298F5F6" w14:textId="77777777" w:rsidR="00472715" w:rsidRPr="00520C23" w:rsidRDefault="00472715" w:rsidP="00472715">
            <w:pPr>
              <w:spacing w:before="120"/>
              <w:rPr>
                <w:rFonts w:cstheme="minorHAnsi"/>
                <w:i/>
                <w:iCs/>
                <w:color w:val="000000"/>
              </w:rPr>
            </w:pPr>
            <w:r w:rsidRPr="00520C23">
              <w:rPr>
                <w:rFonts w:cstheme="minorHAnsi"/>
                <w:i/>
                <w:iCs/>
              </w:rPr>
              <w:t>(1) Interested persons may submit written comments on a plan published under regulation 8A to the Minister no later than 28 days after the date of its publication.</w:t>
            </w:r>
            <w:r w:rsidRPr="00520C23">
              <w:rPr>
                <w:rFonts w:cstheme="minorHAnsi"/>
                <w:i/>
                <w:iCs/>
                <w:color w:val="000000"/>
              </w:rPr>
              <w:t xml:space="preserve"> </w:t>
            </w:r>
          </w:p>
          <w:p w14:paraId="694309E9" w14:textId="13554C3E" w:rsidR="00472715" w:rsidRPr="00520C23" w:rsidRDefault="00472715" w:rsidP="00472715">
            <w:pPr>
              <w:spacing w:before="120"/>
              <w:rPr>
                <w:rFonts w:cstheme="minorHAnsi"/>
              </w:rPr>
            </w:pPr>
            <w:r w:rsidRPr="00520C23">
              <w:rPr>
                <w:rFonts w:cstheme="minorHAnsi"/>
                <w:i/>
                <w:iCs/>
              </w:rPr>
              <w:lastRenderedPageBreak/>
              <w:t>(2) The Minister must publish any comments submitted under subregulation (1), in any manner the Minister considers appropriate, after the end of the 28 day period.</w:t>
            </w:r>
          </w:p>
        </w:tc>
        <w:tc>
          <w:tcPr>
            <w:tcW w:w="5310" w:type="dxa"/>
            <w:shd w:val="clear" w:color="auto" w:fill="FED6D6"/>
          </w:tcPr>
          <w:p w14:paraId="2C1ECD43" w14:textId="0587929C" w:rsidR="00472715" w:rsidRPr="00520C23" w:rsidRDefault="00472715" w:rsidP="00472715">
            <w:pPr>
              <w:spacing w:before="120"/>
              <w:rPr>
                <w:rFonts w:cstheme="minorHAnsi"/>
              </w:rPr>
            </w:pPr>
            <w:r w:rsidRPr="00520C23">
              <w:rPr>
                <w:rFonts w:cstheme="minorHAnsi"/>
              </w:rPr>
              <w:lastRenderedPageBreak/>
              <w:t xml:space="preserve">The amendment to the </w:t>
            </w:r>
            <w:r w:rsidRPr="00520C23">
              <w:rPr>
                <w:rFonts w:cstheme="minorHAnsi"/>
                <w:i/>
              </w:rPr>
              <w:t xml:space="preserve">Petroleum (Environment) Regulations </w:t>
            </w:r>
            <w:r w:rsidRPr="00520C23">
              <w:rPr>
                <w:rFonts w:cstheme="minorHAnsi"/>
              </w:rPr>
              <w:t xml:space="preserve">does not adequately address the recommendation. </w:t>
            </w:r>
          </w:p>
          <w:p w14:paraId="27A5BA5B" w14:textId="5BF5F6D0" w:rsidR="00472715" w:rsidRPr="00520C23" w:rsidRDefault="00472715" w:rsidP="00472715">
            <w:pPr>
              <w:spacing w:before="120"/>
              <w:rPr>
                <w:rFonts w:cstheme="minorHAnsi"/>
                <w:i/>
                <w:iCs/>
                <w:u w:val="single"/>
              </w:rPr>
            </w:pPr>
            <w:r w:rsidRPr="00520C23">
              <w:rPr>
                <w:rFonts w:cstheme="minorHAnsi"/>
                <w:i/>
                <w:iCs/>
                <w:u w:val="single"/>
              </w:rPr>
              <w:t>Comments</w:t>
            </w:r>
          </w:p>
          <w:p w14:paraId="3311B8F7" w14:textId="058DCA1D" w:rsidR="00472715" w:rsidRPr="00520C23" w:rsidRDefault="00472715" w:rsidP="00472715">
            <w:pPr>
              <w:pStyle w:val="ListParagraph"/>
              <w:numPr>
                <w:ilvl w:val="0"/>
                <w:numId w:val="6"/>
              </w:numPr>
              <w:spacing w:before="120"/>
              <w:rPr>
                <w:rFonts w:cstheme="minorHAnsi"/>
              </w:rPr>
            </w:pPr>
            <w:r w:rsidRPr="00520C23">
              <w:rPr>
                <w:rFonts w:cstheme="minorHAnsi"/>
              </w:rPr>
              <w:t xml:space="preserve">The requirement to publish EMPs does not include: (a) modified plans submitted after the Minister considers that the original plan did not meet the approval criteria; or (b) additional information submitted at the request of the Minister. This leaves the provisions open to abuse to avoid public scrutiny. We recommend this provision be revised to require publication of modified plans and information provided at the request of the Minister. </w:t>
            </w:r>
          </w:p>
          <w:p w14:paraId="49F197E6" w14:textId="3ACD6D58" w:rsidR="00472715" w:rsidRPr="00520C23" w:rsidRDefault="00472715" w:rsidP="00472715">
            <w:pPr>
              <w:pStyle w:val="ListParagraph"/>
              <w:numPr>
                <w:ilvl w:val="0"/>
                <w:numId w:val="6"/>
              </w:numPr>
              <w:spacing w:before="120"/>
              <w:rPr>
                <w:rFonts w:cstheme="minorHAnsi"/>
              </w:rPr>
            </w:pPr>
            <w:r w:rsidRPr="00520C23">
              <w:rPr>
                <w:rFonts w:cstheme="minorHAnsi"/>
              </w:rPr>
              <w:t xml:space="preserve">The requirement to publish EMPs excludes information of a “commercially confidential nature” and any other information deemed “reasonable” by the minister. There is no guidance on what is “commercially confidential” or what may be deemed “reasonable” by the Minister. </w:t>
            </w:r>
          </w:p>
          <w:p w14:paraId="6C0D4A7C" w14:textId="77777777" w:rsidR="00472715" w:rsidRPr="00520C23" w:rsidRDefault="00472715" w:rsidP="00472715">
            <w:pPr>
              <w:pStyle w:val="ListParagraph"/>
              <w:numPr>
                <w:ilvl w:val="0"/>
                <w:numId w:val="6"/>
              </w:numPr>
              <w:spacing w:before="120"/>
              <w:rPr>
                <w:rFonts w:cstheme="minorHAnsi"/>
              </w:rPr>
            </w:pPr>
            <w:r w:rsidRPr="00520C23">
              <w:rPr>
                <w:rFonts w:cstheme="minorHAnsi"/>
              </w:rPr>
              <w:t xml:space="preserve">Also, the Minister has discretion to publish public comments on the EMP “in any manner the Minister considers appropriate.” This provision could be open to abuse to prevent public scrutiny. In practice, however, all the comments appear to be published online with the EMP upon the taking of a decision. </w:t>
            </w:r>
          </w:p>
          <w:p w14:paraId="4D1E26C2" w14:textId="6E7290B0" w:rsidR="00472715" w:rsidRPr="00520C23" w:rsidRDefault="00472715" w:rsidP="00472715">
            <w:pPr>
              <w:pStyle w:val="ListParagraph"/>
              <w:numPr>
                <w:ilvl w:val="0"/>
                <w:numId w:val="6"/>
              </w:numPr>
              <w:spacing w:before="120"/>
              <w:rPr>
                <w:rFonts w:cstheme="minorHAnsi"/>
              </w:rPr>
            </w:pPr>
            <w:r w:rsidRPr="00520C23">
              <w:rPr>
                <w:rFonts w:cstheme="minorHAnsi"/>
              </w:rPr>
              <w:t xml:space="preserve">Finally, “all comments made on the EMPs” should include comments made by the Minister in requesting resubmissions of the EMPs. In practice, however, resubmission notices from the Minister to the applicant do not appear to be published online. </w:t>
            </w:r>
          </w:p>
        </w:tc>
      </w:tr>
      <w:tr w:rsidR="00EA3C33" w:rsidRPr="00520C23" w14:paraId="3DA675BC" w14:textId="42C287C0" w:rsidTr="00EA3C33">
        <w:tc>
          <w:tcPr>
            <w:tcW w:w="846" w:type="dxa"/>
            <w:shd w:val="clear" w:color="auto" w:fill="auto"/>
          </w:tcPr>
          <w:p w14:paraId="1304ED57" w14:textId="77777777" w:rsidR="00472715" w:rsidRPr="00520C23" w:rsidRDefault="00472715" w:rsidP="00472715">
            <w:pPr>
              <w:spacing w:before="120"/>
              <w:jc w:val="center"/>
              <w:rPr>
                <w:rFonts w:cstheme="minorHAnsi"/>
              </w:rPr>
            </w:pPr>
            <w:r w:rsidRPr="00520C23">
              <w:rPr>
                <w:rFonts w:cstheme="minorHAnsi"/>
              </w:rPr>
              <w:t>14.16</w:t>
            </w:r>
          </w:p>
        </w:tc>
        <w:tc>
          <w:tcPr>
            <w:tcW w:w="4819" w:type="dxa"/>
            <w:shd w:val="clear" w:color="auto" w:fill="auto"/>
          </w:tcPr>
          <w:p w14:paraId="0DBBEA27" w14:textId="43A608FD"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w:t>
            </w:r>
            <w:r w:rsidRPr="00520C23">
              <w:rPr>
                <w:rFonts w:cstheme="minorHAnsi"/>
                <w:b/>
                <w:i/>
                <w:iCs/>
              </w:rPr>
              <w:t>all notices and reports of environmental incidents</w:t>
            </w:r>
            <w:r w:rsidRPr="00520C23">
              <w:rPr>
                <w:rFonts w:cstheme="minorHAnsi"/>
                <w:i/>
                <w:iCs/>
              </w:rPr>
              <w:t>, including reports about reportable incidents under the Petroleum Environment Regulations,</w:t>
            </w:r>
            <w:r w:rsidRPr="00520C23">
              <w:rPr>
                <w:rFonts w:cstheme="minorHAnsi"/>
                <w:b/>
                <w:i/>
                <w:iCs/>
              </w:rPr>
              <w:t xml:space="preserve"> must be published immediately upon notification in print and online.</w:t>
            </w:r>
            <w:r w:rsidRPr="00520C23">
              <w:rPr>
                <w:rFonts w:cstheme="minorHAnsi"/>
                <w:i/>
                <w:iCs/>
              </w:rPr>
              <w:t xml:space="preserve"> </w:t>
            </w:r>
          </w:p>
        </w:tc>
        <w:tc>
          <w:tcPr>
            <w:tcW w:w="5760" w:type="dxa"/>
            <w:shd w:val="clear" w:color="auto" w:fill="auto"/>
          </w:tcPr>
          <w:p w14:paraId="0211160A" w14:textId="7A625ACD"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The Petroleum (Environment) Regulations 2016 were amended on 19 December 2018 to meet the requirements of this recommendation.</w:t>
            </w:r>
          </w:p>
        </w:tc>
        <w:tc>
          <w:tcPr>
            <w:tcW w:w="5670" w:type="dxa"/>
            <w:shd w:val="clear" w:color="auto" w:fill="auto"/>
          </w:tcPr>
          <w:p w14:paraId="45E063DC" w14:textId="4A9CF288" w:rsidR="00472715" w:rsidRPr="00520C23" w:rsidRDefault="00472715" w:rsidP="00472715">
            <w:pPr>
              <w:spacing w:before="120"/>
              <w:rPr>
                <w:rFonts w:cstheme="minorHAnsi"/>
              </w:rPr>
            </w:pPr>
            <w:r w:rsidRPr="00520C23">
              <w:rPr>
                <w:rFonts w:cstheme="minorHAnsi"/>
                <w:b/>
                <w:i/>
              </w:rPr>
              <w:t>Petroleum (Environment) Regulations</w:t>
            </w:r>
            <w:r w:rsidRPr="00520C23">
              <w:rPr>
                <w:rFonts w:cstheme="minorHAnsi"/>
                <w:b/>
              </w:rPr>
              <w:t xml:space="preserve"> </w:t>
            </w:r>
            <w:r w:rsidRPr="00520C23">
              <w:rPr>
                <w:rFonts w:cstheme="minorHAnsi"/>
              </w:rPr>
              <w:t>amendment allows for this: see clause 35A.</w:t>
            </w:r>
          </w:p>
          <w:p w14:paraId="35F023C1" w14:textId="5E3B3169" w:rsidR="00472715" w:rsidRPr="00520C23" w:rsidRDefault="00472715" w:rsidP="00472715">
            <w:pPr>
              <w:spacing w:before="120"/>
              <w:rPr>
                <w:rFonts w:cstheme="minorHAnsi"/>
                <w:bCs/>
                <w:u w:val="single"/>
              </w:rPr>
            </w:pPr>
            <w:r w:rsidRPr="00520C23">
              <w:rPr>
                <w:rFonts w:cstheme="minorHAnsi"/>
                <w:bCs/>
                <w:u w:val="single"/>
              </w:rPr>
              <w:t>Clause 35A Publication of notices and reports</w:t>
            </w:r>
          </w:p>
          <w:p w14:paraId="6BFE99D2" w14:textId="2FEBF69E" w:rsidR="00472715" w:rsidRPr="00520C23" w:rsidRDefault="00472715" w:rsidP="00472715">
            <w:pPr>
              <w:spacing w:before="120"/>
              <w:rPr>
                <w:rFonts w:cstheme="minorHAnsi"/>
                <w:i/>
                <w:iCs/>
              </w:rPr>
            </w:pPr>
            <w:r w:rsidRPr="00520C23">
              <w:rPr>
                <w:rFonts w:cstheme="minorHAnsi"/>
                <w:i/>
                <w:iCs/>
              </w:rPr>
              <w:t>(1) The Minister must publish the following documents:</w:t>
            </w:r>
          </w:p>
          <w:p w14:paraId="7A5A6A51" w14:textId="41E56B3B" w:rsidR="00472715" w:rsidRPr="00520C23" w:rsidRDefault="00472715" w:rsidP="00472715">
            <w:pPr>
              <w:spacing w:before="120"/>
              <w:ind w:left="720"/>
              <w:rPr>
                <w:rFonts w:cstheme="minorHAnsi"/>
                <w:i/>
                <w:iCs/>
              </w:rPr>
            </w:pPr>
            <w:r w:rsidRPr="00520C23">
              <w:rPr>
                <w:rFonts w:cstheme="minorHAnsi"/>
                <w:i/>
                <w:iCs/>
              </w:rPr>
              <w:t xml:space="preserve">(a) written notice of a reportable incident under regulation 33; </w:t>
            </w:r>
          </w:p>
          <w:p w14:paraId="14959060" w14:textId="1A4DB6E6" w:rsidR="00472715" w:rsidRPr="00520C23" w:rsidRDefault="00472715" w:rsidP="00472715">
            <w:pPr>
              <w:spacing w:before="120"/>
              <w:ind w:left="720"/>
              <w:rPr>
                <w:rFonts w:cstheme="minorHAnsi"/>
                <w:i/>
                <w:iCs/>
              </w:rPr>
            </w:pPr>
            <w:r w:rsidRPr="00520C23">
              <w:rPr>
                <w:rFonts w:cstheme="minorHAnsi"/>
                <w:i/>
                <w:iCs/>
              </w:rPr>
              <w:t>(b) a final report about a reportable incident under regulation 34;</w:t>
            </w:r>
          </w:p>
          <w:p w14:paraId="48C6602B" w14:textId="7F285F60" w:rsidR="00472715" w:rsidRPr="00520C23" w:rsidRDefault="00472715" w:rsidP="00472715">
            <w:pPr>
              <w:spacing w:before="120"/>
              <w:ind w:left="720"/>
              <w:rPr>
                <w:rFonts w:cstheme="minorHAnsi"/>
                <w:i/>
                <w:iCs/>
              </w:rPr>
            </w:pPr>
            <w:r w:rsidRPr="00520C23">
              <w:rPr>
                <w:rFonts w:cstheme="minorHAnsi"/>
                <w:i/>
                <w:iCs/>
              </w:rPr>
              <w:t>(c) a report about recordable incidents under regulation 35.</w:t>
            </w:r>
          </w:p>
          <w:p w14:paraId="03D2874E" w14:textId="3A47EF70" w:rsidR="00472715" w:rsidRPr="00520C23" w:rsidRDefault="00472715" w:rsidP="00472715">
            <w:pPr>
              <w:spacing w:before="120"/>
              <w:rPr>
                <w:rFonts w:cstheme="minorHAnsi"/>
                <w:i/>
                <w:iCs/>
              </w:rPr>
            </w:pPr>
            <w:r w:rsidRPr="00520C23">
              <w:rPr>
                <w:rFonts w:cstheme="minorHAnsi"/>
                <w:i/>
                <w:iCs/>
              </w:rPr>
              <w:t xml:space="preserve">(2) The document must be published, in any manner the Minister considers appropriate, as soon as practicable but no later than 2 business days of the Minister receiving the notice or report. </w:t>
            </w:r>
          </w:p>
          <w:p w14:paraId="38E4B0E8" w14:textId="088B5CFB" w:rsidR="00472715" w:rsidRPr="00520C23" w:rsidRDefault="00472715" w:rsidP="00472715">
            <w:pPr>
              <w:spacing w:before="120"/>
              <w:rPr>
                <w:rFonts w:cstheme="minorHAnsi"/>
                <w:i/>
                <w:iCs/>
              </w:rPr>
            </w:pPr>
            <w:r w:rsidRPr="00520C23">
              <w:rPr>
                <w:rFonts w:cstheme="minorHAnsi"/>
                <w:i/>
                <w:iCs/>
              </w:rPr>
              <w:t>(3) In publishing the document, the Minister:</w:t>
            </w:r>
          </w:p>
          <w:p w14:paraId="4FC09B27" w14:textId="60122DCB" w:rsidR="00472715" w:rsidRPr="00520C23" w:rsidRDefault="00472715" w:rsidP="00472715">
            <w:pPr>
              <w:spacing w:before="120"/>
              <w:ind w:left="720"/>
              <w:rPr>
                <w:rFonts w:cstheme="minorHAnsi"/>
                <w:i/>
                <w:iCs/>
              </w:rPr>
            </w:pPr>
            <w:r w:rsidRPr="00520C23">
              <w:rPr>
                <w:rFonts w:cstheme="minorHAnsi"/>
                <w:i/>
                <w:iCs/>
              </w:rPr>
              <w:t xml:space="preserve">(a) must withhold from the public information of a commercially confidential nature; and </w:t>
            </w:r>
          </w:p>
          <w:p w14:paraId="6D99430D" w14:textId="798CD2ED" w:rsidR="00472715" w:rsidRPr="00520C23" w:rsidRDefault="00472715" w:rsidP="00472715">
            <w:pPr>
              <w:spacing w:before="120"/>
              <w:ind w:left="720"/>
              <w:rPr>
                <w:rFonts w:cstheme="minorHAnsi"/>
              </w:rPr>
            </w:pPr>
            <w:r w:rsidRPr="00520C23">
              <w:rPr>
                <w:rFonts w:cstheme="minorHAnsi"/>
                <w:i/>
                <w:iCs/>
              </w:rPr>
              <w:t>(b) may withhold other information from the public if satisfied that there are reasonable grounds for doing so.</w:t>
            </w:r>
            <w:r w:rsidRPr="00520C23">
              <w:rPr>
                <w:rFonts w:cstheme="minorHAnsi"/>
              </w:rPr>
              <w:t xml:space="preserve"> </w:t>
            </w:r>
          </w:p>
        </w:tc>
        <w:tc>
          <w:tcPr>
            <w:tcW w:w="5310" w:type="dxa"/>
            <w:shd w:val="clear" w:color="auto" w:fill="E2EFD9" w:themeFill="accent6" w:themeFillTint="33"/>
          </w:tcPr>
          <w:p w14:paraId="486E93BF" w14:textId="7A0E66D3" w:rsidR="00472715" w:rsidRPr="00520C23" w:rsidRDefault="00472715" w:rsidP="00472715">
            <w:pPr>
              <w:spacing w:before="120"/>
              <w:rPr>
                <w:rFonts w:cstheme="minorHAnsi"/>
                <w:iCs/>
              </w:rPr>
            </w:pPr>
            <w:r w:rsidRPr="00520C23">
              <w:rPr>
                <w:rFonts w:cstheme="minorHAnsi"/>
                <w:iCs/>
              </w:rPr>
              <w:t xml:space="preserve">The </w:t>
            </w:r>
            <w:r w:rsidRPr="00520C23">
              <w:rPr>
                <w:rFonts w:cstheme="minorHAnsi"/>
                <w:i/>
                <w:iCs/>
              </w:rPr>
              <w:t xml:space="preserve">Petroleum (Environment) Regulations </w:t>
            </w:r>
            <w:r w:rsidRPr="00520C23">
              <w:rPr>
                <w:rFonts w:cstheme="minorHAnsi"/>
              </w:rPr>
              <w:t>adequately address this recommendation.</w:t>
            </w:r>
            <w:r w:rsidRPr="00520C23">
              <w:rPr>
                <w:rFonts w:cstheme="minorHAnsi"/>
                <w:iCs/>
              </w:rPr>
              <w:t xml:space="preserve"> </w:t>
            </w:r>
          </w:p>
          <w:p w14:paraId="17C1C249" w14:textId="7F661927" w:rsidR="00472715" w:rsidRPr="00520C23" w:rsidRDefault="00472715" w:rsidP="00472715">
            <w:pPr>
              <w:spacing w:before="120"/>
              <w:rPr>
                <w:rFonts w:cstheme="minorHAnsi"/>
                <w:i/>
                <w:u w:val="single"/>
              </w:rPr>
            </w:pPr>
            <w:r w:rsidRPr="00520C23">
              <w:rPr>
                <w:rFonts w:cstheme="minorHAnsi"/>
                <w:i/>
                <w:u w:val="single"/>
              </w:rPr>
              <w:t>Comments</w:t>
            </w:r>
          </w:p>
          <w:p w14:paraId="1C84B2B2" w14:textId="25086289" w:rsidR="00472715" w:rsidRPr="00520C23" w:rsidRDefault="00472715" w:rsidP="00472715">
            <w:pPr>
              <w:pStyle w:val="ListParagraph"/>
              <w:numPr>
                <w:ilvl w:val="0"/>
                <w:numId w:val="17"/>
              </w:numPr>
              <w:spacing w:before="120"/>
              <w:rPr>
                <w:rFonts w:cstheme="minorHAnsi"/>
                <w:iCs/>
              </w:rPr>
            </w:pPr>
            <w:r w:rsidRPr="00520C23">
              <w:rPr>
                <w:rFonts w:cstheme="minorHAnsi"/>
                <w:iCs/>
              </w:rPr>
              <w:t>The regulations require the Minister to withhold information “of a commercially confidential nature” and allow her to if there are “reasonable grounds,” without providing an</w:t>
            </w:r>
            <w:r w:rsidR="00DA520E">
              <w:rPr>
                <w:rFonts w:cstheme="minorHAnsi"/>
                <w:iCs/>
              </w:rPr>
              <w:t>y</w:t>
            </w:r>
            <w:r w:rsidRPr="00520C23">
              <w:rPr>
                <w:rFonts w:cstheme="minorHAnsi"/>
                <w:iCs/>
              </w:rPr>
              <w:t xml:space="preserve"> guidance on the exercise of the Minister’s discretion. </w:t>
            </w:r>
          </w:p>
          <w:p w14:paraId="0D547EE7" w14:textId="4888DCD8" w:rsidR="00472715" w:rsidRPr="00520C23" w:rsidRDefault="00472715" w:rsidP="00472715">
            <w:pPr>
              <w:pStyle w:val="ListParagraph"/>
              <w:numPr>
                <w:ilvl w:val="0"/>
                <w:numId w:val="17"/>
              </w:numPr>
              <w:spacing w:before="120"/>
              <w:rPr>
                <w:rFonts w:cstheme="minorHAnsi"/>
              </w:rPr>
            </w:pPr>
            <w:r w:rsidRPr="00520C23">
              <w:rPr>
                <w:rFonts w:cstheme="minorHAnsi"/>
              </w:rPr>
              <w:t xml:space="preserve">There should be a transparent, easy, and consistent way for the public to access this information. The vagueness of the location of the information, as well as the right of withholding, does not align with the Inquiry’s recommendation. </w:t>
            </w:r>
          </w:p>
          <w:p w14:paraId="5C771730" w14:textId="3309F744" w:rsidR="00472715" w:rsidRPr="00520C23" w:rsidRDefault="00472715" w:rsidP="00472715">
            <w:pPr>
              <w:spacing w:before="120"/>
              <w:rPr>
                <w:rFonts w:cstheme="minorHAnsi"/>
              </w:rPr>
            </w:pPr>
          </w:p>
        </w:tc>
      </w:tr>
      <w:tr w:rsidR="00EA3C33" w:rsidRPr="00520C23" w14:paraId="7F82B822" w14:textId="77777777" w:rsidTr="00EA3C33">
        <w:tc>
          <w:tcPr>
            <w:tcW w:w="846" w:type="dxa"/>
            <w:shd w:val="clear" w:color="auto" w:fill="auto"/>
          </w:tcPr>
          <w:p w14:paraId="3503F83C" w14:textId="33EECD48" w:rsidR="00472715" w:rsidRPr="00520C23" w:rsidRDefault="00472715" w:rsidP="00472715">
            <w:pPr>
              <w:spacing w:before="120"/>
              <w:jc w:val="center"/>
              <w:rPr>
                <w:rFonts w:cstheme="minorHAnsi"/>
              </w:rPr>
            </w:pPr>
            <w:r>
              <w:rPr>
                <w:rFonts w:cstheme="minorHAnsi"/>
              </w:rPr>
              <w:t>14.17</w:t>
            </w:r>
          </w:p>
        </w:tc>
        <w:tc>
          <w:tcPr>
            <w:tcW w:w="4819" w:type="dxa"/>
            <w:shd w:val="clear" w:color="auto" w:fill="auto"/>
          </w:tcPr>
          <w:p w14:paraId="7456E7FE" w14:textId="64CFDF2E" w:rsidR="00472715" w:rsidRPr="00520C23" w:rsidRDefault="00472715" w:rsidP="00472715">
            <w:pPr>
              <w:spacing w:before="120"/>
              <w:rPr>
                <w:rFonts w:cstheme="minorHAnsi"/>
                <w:i/>
                <w:iCs/>
              </w:rPr>
            </w:pPr>
            <w:r w:rsidRPr="00C40001">
              <w:rPr>
                <w:rFonts w:cstheme="minorHAnsi"/>
                <w:i/>
                <w:iCs/>
              </w:rPr>
              <w:t>That prior to the grant of any further production approvals, the Schedule be repealed and replaced with legislation to regulate land clearing, seismic surveys, well construction, drilling, hydraulic fracturing, and well decommissioning and abandonment.</w:t>
            </w:r>
          </w:p>
        </w:tc>
        <w:tc>
          <w:tcPr>
            <w:tcW w:w="5760" w:type="dxa"/>
            <w:shd w:val="clear" w:color="auto" w:fill="auto"/>
          </w:tcPr>
          <w:p w14:paraId="13465D22" w14:textId="77777777" w:rsidR="00472715" w:rsidRPr="0088457F" w:rsidRDefault="00472715" w:rsidP="00472715">
            <w:pPr>
              <w:spacing w:before="120"/>
              <w:rPr>
                <w:rFonts w:ascii="Calibri" w:eastAsia="Calibri" w:hAnsi="Calibri" w:cs="Calibri"/>
                <w:color w:val="313131"/>
                <w:lang w:val="en-US"/>
              </w:rPr>
            </w:pPr>
            <w:r w:rsidRPr="0088457F">
              <w:rPr>
                <w:rFonts w:ascii="Calibri" w:eastAsia="Calibri" w:hAnsi="Calibri" w:cs="Calibri"/>
                <w:color w:val="313131"/>
                <w:lang w:val="en-US"/>
              </w:rPr>
              <w:t>In 2019, the Schedule of onshore petroleum exploration and production requirements was significantly amended in response to multiple Inquiry recommendations that saw the establishment of </w:t>
            </w:r>
            <w:hyperlink r:id="rId92" w:history="1">
              <w:r w:rsidRPr="0088457F">
                <w:rPr>
                  <w:rStyle w:val="Hyperlink"/>
                  <w:rFonts w:ascii="Calibri" w:eastAsia="Calibri" w:hAnsi="Calibri" w:cs="Calibri"/>
                  <w:lang w:val="en-US"/>
                </w:rPr>
                <w:t>the Code of Practice for Onshore Petroleum in the Northern Territory</w:t>
              </w:r>
            </w:hyperlink>
            <w:r w:rsidRPr="0088457F">
              <w:rPr>
                <w:rFonts w:ascii="Calibri" w:eastAsia="Calibri" w:hAnsi="Calibri" w:cs="Calibri"/>
                <w:color w:val="313131"/>
                <w:lang w:val="en-US"/>
              </w:rPr>
              <w:t>.</w:t>
            </w:r>
          </w:p>
          <w:p w14:paraId="0D6F991A" w14:textId="77777777" w:rsidR="00472715" w:rsidRPr="0088457F" w:rsidRDefault="00472715" w:rsidP="00472715">
            <w:pPr>
              <w:spacing w:before="120"/>
              <w:rPr>
                <w:rFonts w:ascii="Calibri" w:eastAsia="Calibri" w:hAnsi="Calibri" w:cs="Calibri"/>
                <w:color w:val="313131"/>
                <w:lang w:val="en-US"/>
              </w:rPr>
            </w:pPr>
            <w:r w:rsidRPr="0088457F">
              <w:rPr>
                <w:rFonts w:ascii="Calibri" w:eastAsia="Calibri" w:hAnsi="Calibri" w:cs="Calibri"/>
                <w:color w:val="313131"/>
                <w:lang w:val="en-US"/>
              </w:rPr>
              <w:t>At the time, over 100 clauses remained in the Schedule that collectively provided for a broad range of application, assessment and reporting requirements, as well technical and safety standards. A comprehensive review determined the most appropriate way to repeal the Schedule and replace it with legislation.</w:t>
            </w:r>
          </w:p>
          <w:p w14:paraId="0D513352" w14:textId="77777777" w:rsidR="00472715" w:rsidRPr="0088457F" w:rsidRDefault="00472715" w:rsidP="00472715">
            <w:pPr>
              <w:spacing w:before="120"/>
              <w:rPr>
                <w:rFonts w:ascii="Calibri" w:eastAsia="Calibri" w:hAnsi="Calibri" w:cs="Calibri"/>
                <w:color w:val="313131"/>
                <w:lang w:val="en-US"/>
              </w:rPr>
            </w:pPr>
            <w:r w:rsidRPr="0088457F">
              <w:rPr>
                <w:rFonts w:ascii="Calibri" w:eastAsia="Calibri" w:hAnsi="Calibri" w:cs="Calibri"/>
                <w:color w:val="313131"/>
                <w:lang w:val="en-US"/>
              </w:rPr>
              <w:t>The Petroleum Legislation Amendment Bill 2022 was introduced in the Legislative Assembly on 12 October 2022, passed on 1 December 2022 and assented to on 16 December 2022. Refer to </w:t>
            </w:r>
            <w:hyperlink r:id="rId93" w:history="1">
              <w:r w:rsidRPr="0088457F">
                <w:rPr>
                  <w:rStyle w:val="Hyperlink"/>
                  <w:rFonts w:ascii="Calibri" w:eastAsia="Calibri" w:hAnsi="Calibri" w:cs="Calibri"/>
                  <w:lang w:val="en-US"/>
                </w:rPr>
                <w:t>Special Gazette S64 PDF (182.5 KB)</w:t>
              </w:r>
            </w:hyperlink>
            <w:r w:rsidRPr="0088457F">
              <w:rPr>
                <w:rFonts w:ascii="Calibri" w:eastAsia="Calibri" w:hAnsi="Calibri" w:cs="Calibri"/>
                <w:color w:val="313131"/>
                <w:lang w:val="en-US"/>
              </w:rPr>
              <w:t> published on 19 December 2022.</w:t>
            </w:r>
          </w:p>
          <w:p w14:paraId="7F2A7F17" w14:textId="77777777" w:rsidR="00472715" w:rsidRPr="0088457F" w:rsidRDefault="00472715" w:rsidP="00472715">
            <w:pPr>
              <w:spacing w:before="120"/>
              <w:rPr>
                <w:rFonts w:ascii="Calibri" w:eastAsia="Calibri" w:hAnsi="Calibri" w:cs="Calibri"/>
                <w:color w:val="313131"/>
                <w:lang w:val="en-US"/>
              </w:rPr>
            </w:pPr>
            <w:r w:rsidRPr="0088457F">
              <w:rPr>
                <w:rFonts w:ascii="Calibri" w:eastAsia="Calibri" w:hAnsi="Calibri" w:cs="Calibri"/>
                <w:color w:val="313131"/>
                <w:lang w:val="en-US"/>
              </w:rPr>
              <w:t>Amendments to the </w:t>
            </w:r>
            <w:r w:rsidRPr="0088457F">
              <w:rPr>
                <w:rFonts w:ascii="Calibri" w:eastAsia="Calibri" w:hAnsi="Calibri" w:cs="Calibri"/>
                <w:i/>
                <w:iCs/>
                <w:color w:val="313131"/>
                <w:lang w:val="en-US"/>
              </w:rPr>
              <w:t>Petroleum Act will e</w:t>
            </w:r>
            <w:r w:rsidRPr="0088457F">
              <w:rPr>
                <w:rFonts w:ascii="Calibri" w:eastAsia="Calibri" w:hAnsi="Calibri" w:cs="Calibri"/>
                <w:color w:val="313131"/>
                <w:lang w:val="en-US"/>
              </w:rPr>
              <w:t xml:space="preserve">stablish three new resource management, activity and infrastructure plans that will collectively replace all relevant approvals in Schedule. These are a Well Operation Management Plan, a Field Management Plan and a Petroleum Surface Infrastructure </w:t>
            </w:r>
            <w:r w:rsidRPr="0088457F">
              <w:rPr>
                <w:rFonts w:ascii="Calibri" w:eastAsia="Calibri" w:hAnsi="Calibri" w:cs="Calibri"/>
                <w:color w:val="313131"/>
                <w:lang w:val="en-US"/>
              </w:rPr>
              <w:lastRenderedPageBreak/>
              <w:t>Plan. The Bill also establishes approval criteria and strict assessment timelines.</w:t>
            </w:r>
          </w:p>
          <w:p w14:paraId="1C5A9F4D" w14:textId="77777777" w:rsidR="00472715" w:rsidRPr="0088457F" w:rsidRDefault="00472715" w:rsidP="00472715">
            <w:pPr>
              <w:spacing w:before="120"/>
              <w:rPr>
                <w:rFonts w:ascii="Calibri" w:eastAsia="Calibri" w:hAnsi="Calibri" w:cs="Calibri"/>
                <w:color w:val="313131"/>
                <w:lang w:val="en-US"/>
              </w:rPr>
            </w:pPr>
            <w:r w:rsidRPr="0088457F">
              <w:rPr>
                <w:rFonts w:ascii="Calibri" w:eastAsia="Calibri" w:hAnsi="Calibri" w:cs="Calibri"/>
                <w:color w:val="313131"/>
                <w:lang w:val="en-US"/>
              </w:rPr>
              <w:t>Transitional arrangements are enabled by the Bill, which will require all petroleum interest holders to transition to the new approvals process once the amended Act and Regulations commence.</w:t>
            </w:r>
          </w:p>
          <w:p w14:paraId="450EDF14" w14:textId="77777777" w:rsidR="00472715" w:rsidRPr="0088457F" w:rsidRDefault="00472715" w:rsidP="00472715">
            <w:pPr>
              <w:spacing w:before="120"/>
              <w:rPr>
                <w:rFonts w:ascii="Calibri" w:eastAsia="Calibri" w:hAnsi="Calibri" w:cs="Calibri"/>
                <w:color w:val="313131"/>
                <w:lang w:val="en-US"/>
              </w:rPr>
            </w:pPr>
          </w:p>
        </w:tc>
        <w:tc>
          <w:tcPr>
            <w:tcW w:w="5670" w:type="dxa"/>
            <w:shd w:val="clear" w:color="auto" w:fill="auto"/>
          </w:tcPr>
          <w:p w14:paraId="6690DA01" w14:textId="7A8E9998" w:rsidR="00472715" w:rsidRPr="001E26E1" w:rsidRDefault="00472715" w:rsidP="00472715">
            <w:pPr>
              <w:spacing w:before="120"/>
              <w:rPr>
                <w:rFonts w:cstheme="minorHAnsi"/>
                <w:bCs/>
                <w:iCs/>
              </w:rPr>
            </w:pPr>
            <w:r>
              <w:rPr>
                <w:rFonts w:cstheme="minorHAnsi"/>
                <w:bCs/>
                <w:i/>
              </w:rPr>
              <w:lastRenderedPageBreak/>
              <w:t xml:space="preserve">See generally </w:t>
            </w:r>
            <w:r>
              <w:rPr>
                <w:rFonts w:cstheme="minorHAnsi"/>
                <w:bCs/>
                <w:iCs/>
              </w:rPr>
              <w:t>the Schedule of onshore petroleum exploration and production, the Code of Practice, and the Petroleum Legislation Amendment Bill.</w:t>
            </w:r>
          </w:p>
        </w:tc>
        <w:tc>
          <w:tcPr>
            <w:tcW w:w="5310" w:type="dxa"/>
            <w:shd w:val="clear" w:color="auto" w:fill="E2EFD9" w:themeFill="accent6" w:themeFillTint="33"/>
          </w:tcPr>
          <w:p w14:paraId="72A4CB25" w14:textId="18F612EF" w:rsidR="00472715" w:rsidRDefault="00472715" w:rsidP="00472715">
            <w:pPr>
              <w:spacing w:before="120"/>
              <w:rPr>
                <w:rFonts w:cstheme="minorHAnsi"/>
                <w:iCs/>
              </w:rPr>
            </w:pPr>
            <w:r>
              <w:rPr>
                <w:rFonts w:cstheme="minorHAnsi"/>
                <w:iCs/>
              </w:rPr>
              <w:t xml:space="preserve">The Schedule of onshore petroleum exploration and production requirements has not been repealed or replaced, but the Code of Practice and Petroleum Legislation and Petroleum Legislation Amendment Bill 2022 address land clearing, seismic surveys, well construction, drilling, hydraulic fracturing, and well decommissioning and abandonment.  </w:t>
            </w:r>
          </w:p>
          <w:p w14:paraId="5430C8D4" w14:textId="77777777" w:rsidR="00472715" w:rsidRPr="00187C71" w:rsidRDefault="00472715" w:rsidP="00472715">
            <w:pPr>
              <w:rPr>
                <w:rFonts w:cstheme="minorHAnsi"/>
              </w:rPr>
            </w:pPr>
          </w:p>
          <w:p w14:paraId="6FE03053" w14:textId="77777777" w:rsidR="00472715" w:rsidRDefault="00472715" w:rsidP="00472715">
            <w:pPr>
              <w:rPr>
                <w:rFonts w:cstheme="minorHAnsi"/>
                <w:iCs/>
              </w:rPr>
            </w:pPr>
          </w:p>
          <w:p w14:paraId="600CC73E" w14:textId="77777777" w:rsidR="00472715" w:rsidRDefault="00472715" w:rsidP="00472715">
            <w:pPr>
              <w:rPr>
                <w:rFonts w:cstheme="minorHAnsi"/>
                <w:iCs/>
              </w:rPr>
            </w:pPr>
          </w:p>
          <w:p w14:paraId="0DCFF031" w14:textId="77777777" w:rsidR="00472715" w:rsidRDefault="00472715" w:rsidP="00472715">
            <w:pPr>
              <w:rPr>
                <w:rFonts w:cstheme="minorHAnsi"/>
                <w:iCs/>
              </w:rPr>
            </w:pPr>
          </w:p>
          <w:p w14:paraId="5E084D1A" w14:textId="7D3E4C48" w:rsidR="00472715" w:rsidRPr="00187C71" w:rsidRDefault="00472715" w:rsidP="00472715">
            <w:pPr>
              <w:tabs>
                <w:tab w:val="left" w:pos="3572"/>
              </w:tabs>
              <w:rPr>
                <w:rFonts w:cstheme="minorHAnsi"/>
              </w:rPr>
            </w:pPr>
            <w:r>
              <w:rPr>
                <w:rFonts w:cstheme="minorHAnsi"/>
              </w:rPr>
              <w:tab/>
            </w:r>
          </w:p>
        </w:tc>
      </w:tr>
      <w:tr w:rsidR="00EA3C33" w:rsidRPr="00520C23" w14:paraId="6664F01B" w14:textId="67014302" w:rsidTr="00EA3C33">
        <w:tc>
          <w:tcPr>
            <w:tcW w:w="846" w:type="dxa"/>
            <w:shd w:val="clear" w:color="auto" w:fill="auto"/>
          </w:tcPr>
          <w:p w14:paraId="35FF8616" w14:textId="77777777" w:rsidR="00472715" w:rsidRPr="00520C23" w:rsidRDefault="00472715" w:rsidP="00472715">
            <w:pPr>
              <w:spacing w:before="120"/>
              <w:jc w:val="center"/>
              <w:rPr>
                <w:rFonts w:cstheme="minorHAnsi"/>
              </w:rPr>
            </w:pPr>
            <w:r w:rsidRPr="00520C23">
              <w:rPr>
                <w:rFonts w:cstheme="minorHAnsi"/>
              </w:rPr>
              <w:t>14.18</w:t>
            </w:r>
          </w:p>
        </w:tc>
        <w:tc>
          <w:tcPr>
            <w:tcW w:w="4819" w:type="dxa"/>
            <w:shd w:val="clear" w:color="auto" w:fill="auto"/>
          </w:tcPr>
          <w:p w14:paraId="5D6AD472" w14:textId="3FDD6B26"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the Government develops and implements enforceable codes of practice with minimum prescriptive standards and requirements in relation to all exploration and production activities, including but not limited to, land clearing, seismic surveys, well construction, drilling, hydraulic fracturing and decommissioning and abandonment. </w:t>
            </w:r>
          </w:p>
        </w:tc>
        <w:tc>
          <w:tcPr>
            <w:tcW w:w="5760" w:type="dxa"/>
            <w:shd w:val="clear" w:color="auto" w:fill="auto"/>
          </w:tcPr>
          <w:p w14:paraId="30F5568A" w14:textId="09F879CC"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The Petroleum (Environment) Regulations 2016 were amended on 19 December 2018 to meet the requirements of this recommendation.</w:t>
            </w:r>
          </w:p>
        </w:tc>
        <w:tc>
          <w:tcPr>
            <w:tcW w:w="5670" w:type="dxa"/>
            <w:shd w:val="clear" w:color="auto" w:fill="auto"/>
          </w:tcPr>
          <w:p w14:paraId="4BD573DC" w14:textId="64872DCF" w:rsidR="00472715" w:rsidRPr="00520C23" w:rsidRDefault="00472715" w:rsidP="00472715">
            <w:pPr>
              <w:spacing w:before="120"/>
              <w:rPr>
                <w:rFonts w:cstheme="minorHAnsi"/>
              </w:rPr>
            </w:pPr>
            <w:r w:rsidRPr="00520C23">
              <w:rPr>
                <w:rFonts w:cstheme="minorHAnsi"/>
                <w:b/>
                <w:i/>
                <w:iCs/>
              </w:rPr>
              <w:t>Petroleum Act 1984</w:t>
            </w:r>
            <w:r w:rsidRPr="00520C23">
              <w:rPr>
                <w:rFonts w:cstheme="minorHAnsi"/>
                <w:i/>
                <w:iCs/>
              </w:rPr>
              <w:t xml:space="preserve"> </w:t>
            </w:r>
            <w:r w:rsidRPr="00520C23">
              <w:rPr>
                <w:rFonts w:cstheme="minorHAnsi"/>
                <w:iCs/>
              </w:rPr>
              <w:t>allows for this.</w:t>
            </w:r>
          </w:p>
          <w:p w14:paraId="1393A9CD" w14:textId="6F222D34" w:rsidR="00472715" w:rsidRPr="00520C23" w:rsidRDefault="00472715" w:rsidP="00472715">
            <w:pPr>
              <w:spacing w:before="120"/>
              <w:rPr>
                <w:rFonts w:cstheme="minorHAnsi"/>
              </w:rPr>
            </w:pPr>
            <w:r w:rsidRPr="00520C23">
              <w:rPr>
                <w:rFonts w:cstheme="minorHAnsi"/>
              </w:rPr>
              <w:t xml:space="preserve">Section 118(2)(ra): </w:t>
            </w:r>
            <w:r w:rsidRPr="00520C23">
              <w:rPr>
                <w:rFonts w:cstheme="minorHAnsi"/>
                <w:i/>
                <w:iCs/>
              </w:rPr>
              <w:t>…the Administrator may in the Regulations prescribe for or in relation to … the making and the enforcement of a code of practice, including by providing that a contravention of the code is an offence against the regulations</w:t>
            </w:r>
          </w:p>
          <w:p w14:paraId="30EE331B" w14:textId="112DB278" w:rsidR="00472715" w:rsidRPr="00520C23" w:rsidRDefault="00472715" w:rsidP="00472715">
            <w:pPr>
              <w:spacing w:before="120"/>
              <w:rPr>
                <w:rFonts w:cstheme="minorHAnsi"/>
              </w:rPr>
            </w:pPr>
            <w:r w:rsidRPr="00520C23">
              <w:rPr>
                <w:rFonts w:cstheme="minorHAnsi"/>
              </w:rPr>
              <w:t xml:space="preserve">The final </w:t>
            </w:r>
            <w:r w:rsidRPr="00520C23">
              <w:rPr>
                <w:rFonts w:cstheme="minorHAnsi"/>
                <w:b/>
              </w:rPr>
              <w:t>Code of Practice</w:t>
            </w:r>
            <w:r w:rsidRPr="00520C23">
              <w:rPr>
                <w:rFonts w:cstheme="minorHAnsi"/>
              </w:rPr>
              <w:t xml:space="preserve"> was released on 31 May 2019. </w:t>
            </w:r>
          </w:p>
          <w:p w14:paraId="5723489B" w14:textId="3976481F" w:rsidR="00472715" w:rsidRPr="00520C23" w:rsidRDefault="00472715" w:rsidP="00472715">
            <w:pPr>
              <w:spacing w:before="120"/>
              <w:rPr>
                <w:rFonts w:cstheme="minorHAnsi"/>
              </w:rPr>
            </w:pPr>
          </w:p>
        </w:tc>
        <w:tc>
          <w:tcPr>
            <w:tcW w:w="5310" w:type="dxa"/>
            <w:shd w:val="clear" w:color="auto" w:fill="E2EFD9" w:themeFill="accent6" w:themeFillTint="33"/>
          </w:tcPr>
          <w:p w14:paraId="38E53107" w14:textId="663176CA" w:rsidR="00472715" w:rsidRPr="00520C23" w:rsidRDefault="00472715" w:rsidP="00472715">
            <w:pPr>
              <w:spacing w:before="120"/>
              <w:rPr>
                <w:rFonts w:cstheme="minorHAnsi"/>
              </w:rPr>
            </w:pPr>
            <w:r w:rsidRPr="00520C23">
              <w:rPr>
                <w:rFonts w:cstheme="minorHAnsi"/>
              </w:rPr>
              <w:t xml:space="preserve">The Code of Practice adequately addresses recommendation 14.18. The details of the Code do not always adhere faithfully to the larger set of recommendations offered by the Inquiry. </w:t>
            </w:r>
          </w:p>
          <w:p w14:paraId="29E92584" w14:textId="24CA6CDD" w:rsidR="00472715" w:rsidRPr="00520C23" w:rsidRDefault="00472715" w:rsidP="00472715">
            <w:pPr>
              <w:spacing w:before="120"/>
              <w:rPr>
                <w:rFonts w:cstheme="minorHAnsi"/>
                <w:i/>
                <w:iCs/>
                <w:u w:val="single"/>
              </w:rPr>
            </w:pPr>
            <w:r w:rsidRPr="00520C23">
              <w:rPr>
                <w:rFonts w:cstheme="minorHAnsi"/>
                <w:i/>
                <w:iCs/>
                <w:u w:val="single"/>
              </w:rPr>
              <w:t>Comments</w:t>
            </w:r>
          </w:p>
          <w:p w14:paraId="4574FEA1" w14:textId="20CB78C7" w:rsidR="00472715" w:rsidRPr="00520C23" w:rsidRDefault="00472715" w:rsidP="00472715">
            <w:pPr>
              <w:pStyle w:val="ListParagraph"/>
              <w:numPr>
                <w:ilvl w:val="0"/>
                <w:numId w:val="16"/>
              </w:numPr>
              <w:spacing w:before="120"/>
              <w:rPr>
                <w:rFonts w:cstheme="minorHAnsi"/>
              </w:rPr>
            </w:pPr>
            <w:r w:rsidRPr="00520C23">
              <w:rPr>
                <w:rFonts w:cstheme="minorHAnsi"/>
              </w:rPr>
              <w:t xml:space="preserve">As noted throughout this document, one major concern with the Code is that many of the “requirements” are “preferred,” rather than “mandatory.” This significantly weakens the implementation of the recommendations. </w:t>
            </w:r>
          </w:p>
          <w:p w14:paraId="228FB552" w14:textId="1EA1DDBF" w:rsidR="00472715" w:rsidRPr="00520C23" w:rsidRDefault="00472715" w:rsidP="00472715">
            <w:pPr>
              <w:pStyle w:val="ListParagraph"/>
              <w:numPr>
                <w:ilvl w:val="0"/>
                <w:numId w:val="16"/>
              </w:numPr>
              <w:spacing w:before="120"/>
              <w:rPr>
                <w:rFonts w:cstheme="minorHAnsi"/>
              </w:rPr>
            </w:pPr>
            <w:r w:rsidRPr="00520C23">
              <w:rPr>
                <w:rFonts w:cstheme="minorHAnsi"/>
              </w:rPr>
              <w:t>The Code relies on other guidelines (</w:t>
            </w:r>
            <w:r w:rsidRPr="00520C23">
              <w:rPr>
                <w:rFonts w:cstheme="minorHAnsi"/>
                <w:i/>
              </w:rPr>
              <w:t xml:space="preserve">e.g., </w:t>
            </w:r>
            <w:r w:rsidRPr="00520C23">
              <w:rPr>
                <w:rFonts w:cstheme="minorHAnsi"/>
              </w:rPr>
              <w:t xml:space="preserve">the NT Weed Management Planning Guide, or the DENR’s </w:t>
            </w:r>
            <w:hyperlink r:id="rId94" w:history="1">
              <w:r w:rsidRPr="00520C23">
                <w:rPr>
                  <w:rStyle w:val="Hyperlink"/>
                  <w:rFonts w:cstheme="minorHAnsi"/>
                </w:rPr>
                <w:t>Land Clearing Guidelines</w:t>
              </w:r>
            </w:hyperlink>
            <w:r w:rsidRPr="00520C23">
              <w:rPr>
                <w:rFonts w:cstheme="minorHAnsi"/>
              </w:rPr>
              <w:t xml:space="preserve">) that may or may not align with the larger set of recommendations of the panel. </w:t>
            </w:r>
          </w:p>
          <w:p w14:paraId="1DF2B020" w14:textId="7E24F4FB" w:rsidR="00472715" w:rsidRPr="00520C23" w:rsidRDefault="00472715" w:rsidP="00472715">
            <w:pPr>
              <w:spacing w:before="120"/>
              <w:rPr>
                <w:rFonts w:cstheme="minorHAnsi"/>
              </w:rPr>
            </w:pPr>
          </w:p>
        </w:tc>
      </w:tr>
      <w:tr w:rsidR="00EA3C33" w:rsidRPr="00520C23" w14:paraId="41E1A9DA" w14:textId="33DE71D7" w:rsidTr="00EA3C33">
        <w:tc>
          <w:tcPr>
            <w:tcW w:w="846" w:type="dxa"/>
            <w:shd w:val="clear" w:color="auto" w:fill="auto"/>
          </w:tcPr>
          <w:p w14:paraId="495C1BB7" w14:textId="77777777" w:rsidR="00472715" w:rsidRPr="00520C23" w:rsidRDefault="00472715" w:rsidP="00472715">
            <w:pPr>
              <w:spacing w:before="120"/>
              <w:jc w:val="center"/>
              <w:rPr>
                <w:rFonts w:cstheme="minorHAnsi"/>
              </w:rPr>
            </w:pPr>
            <w:r w:rsidRPr="00520C23">
              <w:rPr>
                <w:rFonts w:cstheme="minorHAnsi"/>
              </w:rPr>
              <w:t>14.19</w:t>
            </w:r>
          </w:p>
        </w:tc>
        <w:tc>
          <w:tcPr>
            <w:tcW w:w="4819" w:type="dxa"/>
            <w:shd w:val="clear" w:color="auto" w:fill="auto"/>
          </w:tcPr>
          <w:p w14:paraId="3ED3A21F" w14:textId="77777777" w:rsidR="00472715" w:rsidRPr="00520C23" w:rsidRDefault="00472715" w:rsidP="00472715">
            <w:pPr>
              <w:spacing w:before="120"/>
              <w:rPr>
                <w:rFonts w:cstheme="minorHAnsi"/>
                <w:i/>
                <w:iCs/>
              </w:rPr>
            </w:pPr>
            <w:r w:rsidRPr="00520C23">
              <w:rPr>
                <w:rFonts w:cstheme="minorHAnsi"/>
                <w:i/>
                <w:iCs/>
              </w:rPr>
              <w:t xml:space="preserve">That prior to granting any further exploration approvals, cl 3(2)(b) of Schedule 1 of the Petroleum Environment Regulations be amended to read as follows: </w:t>
            </w:r>
          </w:p>
          <w:p w14:paraId="6414F062" w14:textId="2954E322" w:rsidR="00472715" w:rsidRPr="00520C23" w:rsidRDefault="00472715" w:rsidP="00472715">
            <w:pPr>
              <w:spacing w:before="120"/>
              <w:rPr>
                <w:rFonts w:cstheme="minorHAnsi"/>
                <w:i/>
                <w:iCs/>
              </w:rPr>
            </w:pPr>
            <w:r w:rsidRPr="00520C23">
              <w:rPr>
                <w:rFonts w:cstheme="minorHAnsi"/>
                <w:i/>
                <w:iCs/>
              </w:rPr>
              <w:t xml:space="preserve">“3(2)(b) [delete ‘as far as practicable’] any cumulative effects of those impacts and risks when considered both together and in conjunction with other events, activities or industries, including any other petroleum activities and extractive industries, that have occurred or that may occur in or near the location of the activity or in or near the region, area or play where the regulated activity is located”. </w:t>
            </w:r>
          </w:p>
          <w:p w14:paraId="389A5496" w14:textId="77777777" w:rsidR="00472715" w:rsidRPr="00520C23" w:rsidRDefault="00472715" w:rsidP="00472715">
            <w:pPr>
              <w:spacing w:before="120"/>
              <w:rPr>
                <w:rFonts w:cstheme="minorHAnsi"/>
                <w:i/>
                <w:iCs/>
              </w:rPr>
            </w:pPr>
          </w:p>
          <w:p w14:paraId="60DAB86A" w14:textId="1F1AD974" w:rsidR="00472715" w:rsidRPr="00520C23" w:rsidRDefault="00472715" w:rsidP="00472715">
            <w:pPr>
              <w:spacing w:before="120"/>
              <w:rPr>
                <w:rFonts w:cstheme="minorHAnsi"/>
                <w:i/>
                <w:iCs/>
              </w:rPr>
            </w:pPr>
          </w:p>
        </w:tc>
        <w:tc>
          <w:tcPr>
            <w:tcW w:w="5760" w:type="dxa"/>
            <w:shd w:val="clear" w:color="auto" w:fill="auto"/>
          </w:tcPr>
          <w:p w14:paraId="2797C086" w14:textId="0664FEB4"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The Petroleum (Environment) Regulations 2016 were amended on 19 December 2018 to meet the requirements of this recommendation.</w:t>
            </w:r>
          </w:p>
        </w:tc>
        <w:tc>
          <w:tcPr>
            <w:tcW w:w="5670" w:type="dxa"/>
            <w:shd w:val="clear" w:color="auto" w:fill="auto"/>
          </w:tcPr>
          <w:p w14:paraId="779C42FE" w14:textId="4F05ABAC" w:rsidR="00472715" w:rsidRPr="00520C23" w:rsidRDefault="00472715" w:rsidP="00472715">
            <w:pPr>
              <w:spacing w:before="120"/>
              <w:rPr>
                <w:rFonts w:cstheme="minorHAnsi"/>
              </w:rPr>
            </w:pPr>
            <w:r w:rsidRPr="00520C23">
              <w:rPr>
                <w:rFonts w:cstheme="minorHAnsi"/>
                <w:b/>
                <w:i/>
                <w:iCs/>
              </w:rPr>
              <w:t>Petroleum (Environment) Regulations</w:t>
            </w:r>
            <w:r w:rsidRPr="00520C23">
              <w:rPr>
                <w:rFonts w:cstheme="minorHAnsi"/>
              </w:rPr>
              <w:t xml:space="preserve"> were amended in December 2018 to implement this recommendation. </w:t>
            </w:r>
          </w:p>
          <w:p w14:paraId="53360312" w14:textId="09AF68D2" w:rsidR="00472715" w:rsidRPr="00520C23" w:rsidRDefault="00472715" w:rsidP="00472715">
            <w:pPr>
              <w:spacing w:before="120"/>
              <w:rPr>
                <w:rFonts w:cstheme="minorHAnsi"/>
              </w:rPr>
            </w:pPr>
            <w:r w:rsidRPr="00520C23">
              <w:rPr>
                <w:rFonts w:cstheme="minorHAnsi"/>
              </w:rPr>
              <w:t xml:space="preserve">Schedule 1, clause 3(2): The assessment mentioned in subclause (1)(a) must be of: </w:t>
            </w:r>
          </w:p>
          <w:p w14:paraId="5A20B104" w14:textId="77777777" w:rsidR="00472715" w:rsidRPr="00520C23" w:rsidRDefault="00472715" w:rsidP="00472715">
            <w:pPr>
              <w:spacing w:before="120"/>
              <w:rPr>
                <w:rFonts w:cstheme="minorHAnsi"/>
                <w:i/>
                <w:iCs/>
              </w:rPr>
            </w:pPr>
            <w:r w:rsidRPr="00520C23">
              <w:rPr>
                <w:rFonts w:cstheme="minorHAnsi"/>
                <w:i/>
                <w:iCs/>
              </w:rPr>
              <w:t xml:space="preserve">(a) all the environmental impacts and environmental risks arising directly or indirectly from: </w:t>
            </w:r>
          </w:p>
          <w:p w14:paraId="3333BA60" w14:textId="77777777" w:rsidR="00472715" w:rsidRPr="00520C23" w:rsidRDefault="00472715" w:rsidP="00472715">
            <w:pPr>
              <w:spacing w:before="120"/>
              <w:ind w:left="720"/>
              <w:rPr>
                <w:rFonts w:cstheme="minorHAnsi"/>
                <w:i/>
                <w:iCs/>
              </w:rPr>
            </w:pPr>
            <w:r w:rsidRPr="00520C23">
              <w:rPr>
                <w:rFonts w:cstheme="minorHAnsi"/>
                <w:i/>
                <w:iCs/>
              </w:rPr>
              <w:t xml:space="preserve">(i) all aspects of the regulated activity; and </w:t>
            </w:r>
          </w:p>
          <w:p w14:paraId="6281B922" w14:textId="77777777" w:rsidR="00472715" w:rsidRPr="00520C23" w:rsidRDefault="00472715" w:rsidP="00472715">
            <w:pPr>
              <w:spacing w:before="120"/>
              <w:ind w:left="720"/>
              <w:rPr>
                <w:rFonts w:cstheme="minorHAnsi"/>
                <w:i/>
                <w:iCs/>
              </w:rPr>
            </w:pPr>
            <w:r w:rsidRPr="00520C23">
              <w:rPr>
                <w:rFonts w:cstheme="minorHAnsi"/>
                <w:i/>
                <w:iCs/>
              </w:rPr>
              <w:t xml:space="preserve">(ii) potential emergency conditions, whether resulting from an incident or any other reason; and </w:t>
            </w:r>
          </w:p>
          <w:p w14:paraId="25A83966" w14:textId="77777777" w:rsidR="00472715" w:rsidRPr="00520C23" w:rsidRDefault="00472715" w:rsidP="00472715">
            <w:pPr>
              <w:spacing w:before="120"/>
              <w:rPr>
                <w:rFonts w:cstheme="minorHAnsi"/>
                <w:i/>
                <w:iCs/>
              </w:rPr>
            </w:pPr>
            <w:r w:rsidRPr="00520C23">
              <w:rPr>
                <w:rFonts w:cstheme="minorHAnsi"/>
                <w:i/>
                <w:iCs/>
              </w:rPr>
              <w:t xml:space="preserve">(b) the cumulative effects of those impacts and risks when considered with each other and in conjunction with any other activities or events that occurred or may occur in or near the permit area for the regulated activity. </w:t>
            </w:r>
          </w:p>
          <w:p w14:paraId="41AED50C" w14:textId="3C590973" w:rsidR="00472715" w:rsidRPr="00520C23" w:rsidRDefault="00472715" w:rsidP="00472715">
            <w:pPr>
              <w:spacing w:before="120"/>
              <w:rPr>
                <w:rFonts w:cstheme="minorHAnsi"/>
              </w:rPr>
            </w:pPr>
            <w:r w:rsidRPr="00520C23">
              <w:rPr>
                <w:rFonts w:cstheme="minorHAnsi"/>
              </w:rPr>
              <w:t xml:space="preserve">Example for clause 3(2)(b) of other activities or events: </w:t>
            </w:r>
          </w:p>
          <w:p w14:paraId="6B3002C6" w14:textId="77777777" w:rsidR="00472715" w:rsidRPr="00520C23" w:rsidRDefault="00472715" w:rsidP="00472715">
            <w:pPr>
              <w:spacing w:before="120"/>
              <w:rPr>
                <w:rFonts w:cstheme="minorHAnsi"/>
                <w:i/>
                <w:iCs/>
              </w:rPr>
            </w:pPr>
            <w:r w:rsidRPr="00520C23">
              <w:rPr>
                <w:rFonts w:cstheme="minorHAnsi"/>
                <w:i/>
                <w:iCs/>
              </w:rPr>
              <w:t xml:space="preserve">Activities or events associated with: </w:t>
            </w:r>
          </w:p>
          <w:p w14:paraId="2BE768D5" w14:textId="77777777" w:rsidR="00472715" w:rsidRPr="00520C23" w:rsidRDefault="00472715" w:rsidP="00472715">
            <w:pPr>
              <w:spacing w:before="120"/>
              <w:rPr>
                <w:rFonts w:cstheme="minorHAnsi"/>
                <w:i/>
                <w:iCs/>
              </w:rPr>
            </w:pPr>
            <w:r w:rsidRPr="00520C23">
              <w:rPr>
                <w:rFonts w:cstheme="minorHAnsi"/>
                <w:i/>
                <w:iCs/>
              </w:rPr>
              <w:t xml:space="preserve">(a) other exploration for, or production of, petroleum; or </w:t>
            </w:r>
          </w:p>
          <w:p w14:paraId="03C74F89" w14:textId="67AD7371" w:rsidR="00472715" w:rsidRPr="00520C23" w:rsidRDefault="00472715" w:rsidP="00472715">
            <w:pPr>
              <w:spacing w:before="120"/>
              <w:rPr>
                <w:rFonts w:cstheme="minorHAnsi"/>
              </w:rPr>
            </w:pPr>
            <w:r w:rsidRPr="00520C23">
              <w:rPr>
                <w:rFonts w:cstheme="minorHAnsi"/>
                <w:i/>
                <w:iCs/>
              </w:rPr>
              <w:t>(b) the exploration for, or extraction of, minerals or extractive minerals.</w:t>
            </w:r>
          </w:p>
        </w:tc>
        <w:tc>
          <w:tcPr>
            <w:tcW w:w="5310" w:type="dxa"/>
            <w:shd w:val="clear" w:color="auto" w:fill="FED6D6"/>
          </w:tcPr>
          <w:p w14:paraId="3A459636" w14:textId="28E0A135" w:rsidR="00472715" w:rsidRPr="00520C23" w:rsidRDefault="00472715" w:rsidP="00472715">
            <w:pPr>
              <w:spacing w:before="120"/>
              <w:rPr>
                <w:rFonts w:cstheme="minorHAnsi"/>
              </w:rPr>
            </w:pPr>
            <w:r w:rsidRPr="00520C23">
              <w:rPr>
                <w:rFonts w:cstheme="minorHAnsi"/>
              </w:rPr>
              <w:t>The PERs do not adequately address recommendation 14.19</w:t>
            </w:r>
            <w:r w:rsidR="009657A5">
              <w:rPr>
                <w:rFonts w:cstheme="minorHAnsi"/>
              </w:rPr>
              <w:t>.</w:t>
            </w:r>
          </w:p>
          <w:p w14:paraId="157F7540" w14:textId="5F18B627" w:rsidR="00472715" w:rsidRPr="00520C23" w:rsidRDefault="00472715" w:rsidP="00472715">
            <w:pPr>
              <w:spacing w:before="120"/>
              <w:rPr>
                <w:rFonts w:cstheme="minorHAnsi"/>
                <w:i/>
                <w:iCs/>
                <w:u w:val="single"/>
              </w:rPr>
            </w:pPr>
            <w:r w:rsidRPr="00520C23">
              <w:rPr>
                <w:rFonts w:cstheme="minorHAnsi"/>
                <w:i/>
                <w:iCs/>
                <w:u w:val="single"/>
              </w:rPr>
              <w:t>Comments</w:t>
            </w:r>
          </w:p>
          <w:p w14:paraId="3491B892" w14:textId="1A71F915" w:rsidR="00472715" w:rsidRPr="00520C23" w:rsidRDefault="00472715" w:rsidP="00472715">
            <w:pPr>
              <w:pStyle w:val="ListParagraph"/>
              <w:numPr>
                <w:ilvl w:val="0"/>
                <w:numId w:val="19"/>
              </w:numPr>
              <w:spacing w:before="120"/>
              <w:rPr>
                <w:rFonts w:cstheme="minorHAnsi"/>
              </w:rPr>
            </w:pPr>
            <w:r w:rsidRPr="00520C23">
              <w:rPr>
                <w:rFonts w:cstheme="minorHAnsi"/>
              </w:rPr>
              <w:t>The panel provided precise language in this context that should be adhered to precisely for the following reasons:</w:t>
            </w:r>
          </w:p>
          <w:p w14:paraId="1E2A7DA8" w14:textId="68F25AC9" w:rsidR="00472715" w:rsidRPr="00520C23" w:rsidRDefault="00472715" w:rsidP="00472715">
            <w:pPr>
              <w:pStyle w:val="ListParagraph"/>
              <w:numPr>
                <w:ilvl w:val="0"/>
                <w:numId w:val="91"/>
              </w:numPr>
              <w:spacing w:before="120"/>
              <w:rPr>
                <w:rFonts w:cstheme="minorHAnsi"/>
              </w:rPr>
            </w:pPr>
            <w:r w:rsidRPr="00520C23">
              <w:rPr>
                <w:rFonts w:cstheme="minorHAnsi"/>
              </w:rPr>
              <w:t xml:space="preserve">In its discussion preceding this recommendation, on pages 413-414 of the final report, the Inquiry raised concerns about “exploration creep,” being the risk that large numbers of wells may be drilled and fracked under exploration permits. </w:t>
            </w:r>
          </w:p>
          <w:p w14:paraId="26507033" w14:textId="4E1FEA1D" w:rsidR="00472715" w:rsidRPr="00520C23" w:rsidRDefault="00472715" w:rsidP="00472715">
            <w:pPr>
              <w:pStyle w:val="ListParagraph"/>
              <w:numPr>
                <w:ilvl w:val="0"/>
                <w:numId w:val="91"/>
              </w:numPr>
              <w:spacing w:before="120"/>
              <w:rPr>
                <w:rFonts w:cstheme="minorHAnsi"/>
              </w:rPr>
            </w:pPr>
            <w:r w:rsidRPr="00520C23">
              <w:rPr>
                <w:rFonts w:cstheme="minorHAnsi"/>
              </w:rPr>
              <w:t xml:space="preserve">This recommendation is intended to fulfil the Panel’s goal </w:t>
            </w:r>
            <w:r w:rsidR="00B17720">
              <w:rPr>
                <w:rFonts w:cstheme="minorHAnsi"/>
              </w:rPr>
              <w:t>of</w:t>
            </w:r>
            <w:r w:rsidRPr="00520C23">
              <w:rPr>
                <w:rFonts w:cstheme="minorHAnsi"/>
              </w:rPr>
              <w:t xml:space="preserve"> ensur</w:t>
            </w:r>
            <w:r w:rsidR="00B17720">
              <w:rPr>
                <w:rFonts w:cstheme="minorHAnsi"/>
              </w:rPr>
              <w:t>ing</w:t>
            </w:r>
            <w:r w:rsidRPr="00520C23">
              <w:rPr>
                <w:rFonts w:cstheme="minorHAnsi"/>
              </w:rPr>
              <w:t xml:space="preserve"> that safeguards must exist to prevent exploration creep and require cumulative impacts of any onshore shale gas activities during the exploration phase to be assessed, taken into account</w:t>
            </w:r>
            <w:r w:rsidR="00B17720">
              <w:rPr>
                <w:rFonts w:cstheme="minorHAnsi"/>
              </w:rPr>
              <w:t>,</w:t>
            </w:r>
            <w:r w:rsidRPr="00520C23">
              <w:rPr>
                <w:rFonts w:cstheme="minorHAnsi"/>
              </w:rPr>
              <w:t xml:space="preserve"> and appropriately mitigated. </w:t>
            </w:r>
          </w:p>
          <w:p w14:paraId="03730B39" w14:textId="77777777" w:rsidR="00472715" w:rsidRPr="00520C23" w:rsidRDefault="00472715" w:rsidP="00472715">
            <w:pPr>
              <w:pStyle w:val="ListParagraph"/>
              <w:numPr>
                <w:ilvl w:val="0"/>
                <w:numId w:val="91"/>
              </w:numPr>
              <w:spacing w:before="120"/>
              <w:rPr>
                <w:rFonts w:cstheme="minorHAnsi"/>
              </w:rPr>
            </w:pPr>
            <w:r w:rsidRPr="00520C23">
              <w:rPr>
                <w:rFonts w:cstheme="minorHAnsi"/>
              </w:rPr>
              <w:t xml:space="preserve">The Panel also intended the recommendation to remove the previous ambiguity about the geographical reach of assessment of cumulative impacts in EMPs. </w:t>
            </w:r>
          </w:p>
          <w:p w14:paraId="289CBA38" w14:textId="2FCE4B60" w:rsidR="00472715" w:rsidRPr="00520C23" w:rsidRDefault="00472715" w:rsidP="00472715">
            <w:pPr>
              <w:pStyle w:val="ListParagraph"/>
              <w:numPr>
                <w:ilvl w:val="0"/>
                <w:numId w:val="91"/>
              </w:numPr>
              <w:spacing w:before="120"/>
              <w:rPr>
                <w:rFonts w:cstheme="minorHAnsi"/>
              </w:rPr>
            </w:pPr>
            <w:r w:rsidRPr="00520C23">
              <w:rPr>
                <w:rFonts w:cstheme="minorHAnsi"/>
              </w:rPr>
              <w:t>As such, the limitation in the PER to assess only cumulative impacts “</w:t>
            </w:r>
            <w:r w:rsidRPr="00520C23">
              <w:rPr>
                <w:rFonts w:cstheme="minorHAnsi"/>
                <w:i/>
                <w:iCs/>
              </w:rPr>
              <w:t>in or near the permit area”</w:t>
            </w:r>
            <w:r w:rsidRPr="00520C23">
              <w:rPr>
                <w:rFonts w:cstheme="minorHAnsi"/>
              </w:rPr>
              <w:t xml:space="preserve"> </w:t>
            </w:r>
            <w:r w:rsidRPr="00520C23">
              <w:rPr>
                <w:rFonts w:cstheme="minorHAnsi"/>
              </w:rPr>
              <w:lastRenderedPageBreak/>
              <w:t>fails to fulfill the requirements of the recommendation to assess impacts “</w:t>
            </w:r>
            <w:r w:rsidRPr="00520C23">
              <w:rPr>
                <w:rFonts w:cstheme="minorHAnsi"/>
                <w:i/>
                <w:iCs/>
              </w:rPr>
              <w:t>in or near the location of the activity and in or near the region, area or play where the regulated activity is located.</w:t>
            </w:r>
            <w:r w:rsidRPr="00520C23">
              <w:rPr>
                <w:rFonts w:cstheme="minorHAnsi"/>
              </w:rPr>
              <w:t xml:space="preserve">” </w:t>
            </w:r>
          </w:p>
          <w:p w14:paraId="0AB9137D" w14:textId="486011EE" w:rsidR="00472715" w:rsidRPr="00520C23" w:rsidRDefault="00472715" w:rsidP="00472715">
            <w:pPr>
              <w:pStyle w:val="ListParagraph"/>
              <w:numPr>
                <w:ilvl w:val="0"/>
                <w:numId w:val="91"/>
              </w:numPr>
              <w:spacing w:before="120"/>
              <w:rPr>
                <w:rFonts w:cstheme="minorHAnsi"/>
              </w:rPr>
            </w:pPr>
            <w:r w:rsidRPr="00520C23">
              <w:rPr>
                <w:rFonts w:cstheme="minorHAnsi"/>
              </w:rPr>
              <w:t>Additionally, the examples given in the PERs of what constitutes “</w:t>
            </w:r>
            <w:r w:rsidRPr="00520C23">
              <w:rPr>
                <w:rFonts w:cstheme="minorHAnsi"/>
                <w:i/>
                <w:iCs/>
              </w:rPr>
              <w:t>other activities or events</w:t>
            </w:r>
            <w:r w:rsidRPr="00520C23">
              <w:rPr>
                <w:rFonts w:cstheme="minorHAnsi"/>
              </w:rPr>
              <w:t>” is limited to petroleum and mining activities, but there may be other activities in the project area that are “</w:t>
            </w:r>
            <w:r w:rsidRPr="00520C23">
              <w:rPr>
                <w:rFonts w:cstheme="minorHAnsi"/>
                <w:i/>
                <w:iCs/>
              </w:rPr>
              <w:t>other events, activities, or industries</w:t>
            </w:r>
            <w:r w:rsidRPr="00520C23">
              <w:rPr>
                <w:rFonts w:cstheme="minorHAnsi"/>
              </w:rPr>
              <w:t xml:space="preserve">” that should be considered in cumulative impacts outside of these industries, such as cattle grazing. </w:t>
            </w:r>
          </w:p>
        </w:tc>
      </w:tr>
      <w:tr w:rsidR="00EA3C33" w:rsidRPr="00520C23" w14:paraId="7D438EA4" w14:textId="77777777" w:rsidTr="00EA3C33">
        <w:tc>
          <w:tcPr>
            <w:tcW w:w="846" w:type="dxa"/>
            <w:shd w:val="clear" w:color="auto" w:fill="auto"/>
          </w:tcPr>
          <w:p w14:paraId="461FFD1C" w14:textId="42073E69" w:rsidR="00472715" w:rsidRPr="00520C23" w:rsidRDefault="00472715" w:rsidP="00472715">
            <w:pPr>
              <w:spacing w:before="120"/>
              <w:jc w:val="center"/>
              <w:rPr>
                <w:rFonts w:cstheme="minorHAnsi"/>
              </w:rPr>
            </w:pPr>
            <w:r w:rsidRPr="00520C23">
              <w:rPr>
                <w:rFonts w:cstheme="minorHAnsi"/>
              </w:rPr>
              <w:lastRenderedPageBreak/>
              <w:t>14.20</w:t>
            </w:r>
          </w:p>
        </w:tc>
        <w:tc>
          <w:tcPr>
            <w:tcW w:w="4819" w:type="dxa"/>
            <w:shd w:val="clear" w:color="auto" w:fill="auto"/>
          </w:tcPr>
          <w:p w14:paraId="618771B2" w14:textId="77777777" w:rsidR="00472715" w:rsidRPr="00520C23" w:rsidRDefault="00472715" w:rsidP="00472715">
            <w:pPr>
              <w:spacing w:before="120"/>
              <w:rPr>
                <w:rFonts w:cstheme="minorHAnsi"/>
                <w:i/>
                <w:iCs/>
              </w:rPr>
            </w:pPr>
            <w:r w:rsidRPr="00520C23">
              <w:rPr>
                <w:rFonts w:cstheme="minorHAnsi"/>
                <w:i/>
                <w:iCs/>
              </w:rPr>
              <w:t>That the Minister must be satisfied that an applicant is a fit and proper person to hold a production licence, taking into account, among other things, the applicant’s environmental history and history of compliance with the Petroleum Act and any other relevant legislation both domestically and overseas.</w:t>
            </w:r>
          </w:p>
          <w:p w14:paraId="24219262" w14:textId="77777777" w:rsidR="00472715" w:rsidRPr="00520C23" w:rsidRDefault="00472715" w:rsidP="00472715">
            <w:pPr>
              <w:spacing w:before="120"/>
              <w:rPr>
                <w:rFonts w:cstheme="minorHAnsi"/>
                <w:i/>
                <w:iCs/>
              </w:rPr>
            </w:pPr>
            <w:r w:rsidRPr="00520C23">
              <w:rPr>
                <w:rFonts w:cstheme="minorHAnsi"/>
                <w:i/>
                <w:iCs/>
              </w:rPr>
              <w:t>That failure to disclose a matter relevant to the determination of whether an applicant is a fit and proper person upon request will result in civil and/or criminal sanctions under the Petroleum Act.</w:t>
            </w:r>
          </w:p>
          <w:p w14:paraId="36F96F7A" w14:textId="77777777" w:rsidR="00472715" w:rsidRPr="00520C23" w:rsidRDefault="00472715" w:rsidP="00472715">
            <w:pPr>
              <w:spacing w:before="120"/>
              <w:rPr>
                <w:rFonts w:cstheme="minorHAnsi"/>
                <w:i/>
                <w:iCs/>
              </w:rPr>
            </w:pPr>
            <w:r w:rsidRPr="00520C23">
              <w:rPr>
                <w:rFonts w:cstheme="minorHAnsi"/>
                <w:i/>
                <w:iCs/>
              </w:rPr>
              <w:t>That the Minister’s reasons for determining whether or not the applicant is a fit and proper person be published online.</w:t>
            </w:r>
          </w:p>
          <w:p w14:paraId="543DEA25" w14:textId="77777777" w:rsidR="00472715" w:rsidRPr="00520C23" w:rsidRDefault="00472715" w:rsidP="00472715">
            <w:pPr>
              <w:spacing w:before="120"/>
              <w:rPr>
                <w:rFonts w:cstheme="minorHAnsi"/>
                <w:i/>
                <w:iCs/>
              </w:rPr>
            </w:pPr>
          </w:p>
        </w:tc>
        <w:tc>
          <w:tcPr>
            <w:tcW w:w="5760" w:type="dxa"/>
            <w:shd w:val="clear" w:color="auto" w:fill="auto"/>
          </w:tcPr>
          <w:p w14:paraId="5F1A2F70" w14:textId="77777777" w:rsidR="00472715" w:rsidRPr="00520C23" w:rsidRDefault="00472715" w:rsidP="00472715">
            <w:pPr>
              <w:spacing w:before="120"/>
              <w:rPr>
                <w:rFonts w:cstheme="minorHAnsi"/>
              </w:rPr>
            </w:pPr>
            <w:r w:rsidRPr="00520C23">
              <w:rPr>
                <w:rFonts w:cstheme="minorHAnsi"/>
              </w:rPr>
              <w:t>The </w:t>
            </w:r>
            <w:r w:rsidRPr="00520C23">
              <w:rPr>
                <w:rFonts w:cstheme="minorHAnsi"/>
                <w:i/>
                <w:iCs/>
              </w:rPr>
              <w:t>Petroleum Act</w:t>
            </w:r>
            <w:r w:rsidRPr="00520C23">
              <w:rPr>
                <w:rFonts w:cstheme="minorHAnsi"/>
              </w:rPr>
              <w:t> was amended in March 2019 to require an appropriate person test for the issuing of a licence. The changes to the legislation came into effect in April 2019.</w:t>
            </w:r>
          </w:p>
          <w:p w14:paraId="664C7883" w14:textId="0A9AC650" w:rsidR="00472715" w:rsidRPr="00520C23" w:rsidRDefault="00F90BAA" w:rsidP="00472715">
            <w:pPr>
              <w:spacing w:before="120"/>
              <w:rPr>
                <w:rFonts w:cstheme="minorHAnsi"/>
              </w:rPr>
            </w:pPr>
            <w:hyperlink r:id="rId95" w:history="1">
              <w:r w:rsidR="00472715" w:rsidRPr="00520C23">
                <w:rPr>
                  <w:rStyle w:val="Hyperlink"/>
                  <w:rFonts w:cstheme="minorHAnsi"/>
                </w:rPr>
                <w:br/>
              </w:r>
            </w:hyperlink>
          </w:p>
        </w:tc>
        <w:tc>
          <w:tcPr>
            <w:tcW w:w="5670" w:type="dxa"/>
            <w:shd w:val="clear" w:color="auto" w:fill="auto"/>
          </w:tcPr>
          <w:p w14:paraId="1EB82916" w14:textId="6F6E4B6F" w:rsidR="00472715" w:rsidRPr="00520C23" w:rsidRDefault="00472715" w:rsidP="00472715">
            <w:pPr>
              <w:spacing w:before="120"/>
              <w:rPr>
                <w:rFonts w:cstheme="minorHAnsi"/>
              </w:rPr>
            </w:pPr>
            <w:r w:rsidRPr="00520C23">
              <w:rPr>
                <w:rFonts w:cstheme="minorHAnsi"/>
              </w:rPr>
              <w:t xml:space="preserve">Section 15A of the </w:t>
            </w:r>
            <w:r w:rsidRPr="00520C23">
              <w:rPr>
                <w:rFonts w:cstheme="minorHAnsi"/>
                <w:i/>
                <w:iCs/>
              </w:rPr>
              <w:t>Petroleum Act</w:t>
            </w:r>
            <w:r w:rsidRPr="00520C23">
              <w:rPr>
                <w:rFonts w:cstheme="minorHAnsi"/>
              </w:rPr>
              <w:t xml:space="preserve"> </w:t>
            </w:r>
            <w:r w:rsidRPr="00520C23">
              <w:rPr>
                <w:rFonts w:cstheme="minorHAnsi"/>
                <w:i/>
                <w:iCs/>
              </w:rPr>
              <w:t>1984</w:t>
            </w:r>
            <w:r w:rsidRPr="00520C23">
              <w:rPr>
                <w:rFonts w:cstheme="minorHAnsi"/>
              </w:rPr>
              <w:t xml:space="preserve"> lays out factors for determining whether the applicant is “</w:t>
            </w:r>
            <w:r w:rsidRPr="00520C23">
              <w:rPr>
                <w:rFonts w:cstheme="minorHAnsi"/>
                <w:i/>
                <w:iCs/>
              </w:rPr>
              <w:t>an appropriate person to hold a permit or licence under the Act.”</w:t>
            </w:r>
            <w:r w:rsidRPr="00520C23">
              <w:rPr>
                <w:rFonts w:cstheme="minorHAnsi"/>
              </w:rPr>
              <w:t xml:space="preserve"> </w:t>
            </w:r>
          </w:p>
        </w:tc>
        <w:tc>
          <w:tcPr>
            <w:tcW w:w="5310" w:type="dxa"/>
            <w:shd w:val="clear" w:color="auto" w:fill="E2EFD9" w:themeFill="accent6" w:themeFillTint="33"/>
          </w:tcPr>
          <w:p w14:paraId="14CB01D0" w14:textId="7CF93B72" w:rsidR="00472715" w:rsidRPr="00520C23" w:rsidRDefault="00472715" w:rsidP="00472715">
            <w:pPr>
              <w:spacing w:before="120"/>
              <w:rPr>
                <w:rFonts w:cstheme="minorHAnsi"/>
                <w:i/>
                <w:iCs/>
              </w:rPr>
            </w:pPr>
            <w:r w:rsidRPr="00520C23">
              <w:rPr>
                <w:rFonts w:cstheme="minorHAnsi"/>
              </w:rPr>
              <w:t xml:space="preserve">Section 15A of the </w:t>
            </w:r>
            <w:r w:rsidRPr="00520C23">
              <w:rPr>
                <w:rFonts w:cstheme="minorHAnsi"/>
                <w:i/>
                <w:iCs/>
              </w:rPr>
              <w:t>Petroleum Act</w:t>
            </w:r>
            <w:r w:rsidRPr="00520C23">
              <w:rPr>
                <w:rFonts w:cstheme="minorHAnsi"/>
              </w:rPr>
              <w:t xml:space="preserve"> adequately addresses recommendation 14.20</w:t>
            </w:r>
            <w:r w:rsidRPr="00520C23">
              <w:rPr>
                <w:rFonts w:cstheme="minorHAnsi"/>
                <w:i/>
                <w:iCs/>
              </w:rPr>
              <w:t xml:space="preserve">. </w:t>
            </w:r>
          </w:p>
          <w:p w14:paraId="4B11416F" w14:textId="77777777" w:rsidR="00472715" w:rsidRPr="00520C23" w:rsidRDefault="00472715" w:rsidP="00472715">
            <w:pPr>
              <w:spacing w:before="120"/>
              <w:rPr>
                <w:rFonts w:cstheme="minorHAnsi"/>
                <w:i/>
                <w:iCs/>
                <w:u w:val="single"/>
              </w:rPr>
            </w:pPr>
            <w:r w:rsidRPr="00520C23">
              <w:rPr>
                <w:rFonts w:cstheme="minorHAnsi"/>
                <w:i/>
                <w:iCs/>
                <w:u w:val="single"/>
              </w:rPr>
              <w:t>Comments</w:t>
            </w:r>
          </w:p>
          <w:p w14:paraId="1A0CEF43" w14:textId="4404313F" w:rsidR="00472715" w:rsidRPr="00520C23" w:rsidRDefault="00472715" w:rsidP="00472715">
            <w:pPr>
              <w:pStyle w:val="ListParagraph"/>
              <w:numPr>
                <w:ilvl w:val="0"/>
                <w:numId w:val="19"/>
              </w:numPr>
              <w:spacing w:before="120"/>
              <w:rPr>
                <w:rFonts w:cstheme="minorHAnsi"/>
              </w:rPr>
            </w:pPr>
            <w:r w:rsidRPr="00520C23">
              <w:rPr>
                <w:rFonts w:cstheme="minorHAnsi"/>
              </w:rPr>
              <w:t>Section 15A(4) read together with Section 106 provides for penalties when an applicant fails to comply with a request for more information as part of the appropriate person test</w:t>
            </w:r>
            <w:r w:rsidRPr="00520C23">
              <w:rPr>
                <w:rFonts w:cstheme="minorHAnsi"/>
                <w:i/>
                <w:iCs/>
              </w:rPr>
              <w:t>.</w:t>
            </w:r>
          </w:p>
        </w:tc>
      </w:tr>
      <w:tr w:rsidR="00EA3C33" w:rsidRPr="00520C23" w14:paraId="20784E10" w14:textId="77777777" w:rsidTr="00EA3C33">
        <w:tc>
          <w:tcPr>
            <w:tcW w:w="846" w:type="dxa"/>
            <w:shd w:val="clear" w:color="auto" w:fill="auto"/>
          </w:tcPr>
          <w:p w14:paraId="492E0671" w14:textId="41E08A04" w:rsidR="00472715" w:rsidRPr="00520C23" w:rsidRDefault="00472715" w:rsidP="00472715">
            <w:pPr>
              <w:spacing w:before="120"/>
              <w:jc w:val="center"/>
              <w:rPr>
                <w:rFonts w:cstheme="minorHAnsi"/>
              </w:rPr>
            </w:pPr>
            <w:r w:rsidRPr="00520C23">
              <w:rPr>
                <w:rFonts w:cstheme="minorHAnsi"/>
              </w:rPr>
              <w:t>14.21</w:t>
            </w:r>
          </w:p>
        </w:tc>
        <w:tc>
          <w:tcPr>
            <w:tcW w:w="4819" w:type="dxa"/>
            <w:shd w:val="clear" w:color="auto" w:fill="auto"/>
          </w:tcPr>
          <w:p w14:paraId="05B9FF10" w14:textId="586490DC" w:rsidR="00472715" w:rsidRPr="00520C23" w:rsidRDefault="00472715" w:rsidP="00472715">
            <w:pPr>
              <w:spacing w:before="120"/>
              <w:rPr>
                <w:rFonts w:cstheme="minorHAnsi"/>
                <w:i/>
                <w:iCs/>
              </w:rPr>
            </w:pPr>
            <w:r w:rsidRPr="00520C23">
              <w:rPr>
                <w:rFonts w:cstheme="minorHAnsi"/>
                <w:i/>
                <w:iCs/>
              </w:rPr>
              <w:t>That as part of the environmental assessment and approval process for all exploration and production approvals, the Minister be required to consider the cumulative impacts of any proposed onshore shale gas activity.</w:t>
            </w:r>
          </w:p>
        </w:tc>
        <w:tc>
          <w:tcPr>
            <w:tcW w:w="5760" w:type="dxa"/>
            <w:shd w:val="clear" w:color="auto" w:fill="auto"/>
          </w:tcPr>
          <w:p w14:paraId="1AF77E81" w14:textId="77777777" w:rsidR="00472715" w:rsidRPr="00520C23" w:rsidRDefault="00472715" w:rsidP="00472715">
            <w:pPr>
              <w:spacing w:before="120"/>
              <w:rPr>
                <w:rFonts w:cstheme="minorHAnsi"/>
              </w:rPr>
            </w:pPr>
            <w:r w:rsidRPr="00520C23">
              <w:rPr>
                <w:rFonts w:cstheme="minorHAnsi"/>
              </w:rPr>
              <w:t>The environmental assessment processes and the assessment of environment management plans under the </w:t>
            </w:r>
            <w:r w:rsidRPr="00520C23">
              <w:rPr>
                <w:rFonts w:cstheme="minorHAnsi"/>
                <w:i/>
                <w:iCs/>
              </w:rPr>
              <w:t>Petroleum (Environment) Regulations</w:t>
            </w:r>
            <w:r w:rsidRPr="00520C23">
              <w:rPr>
                <w:rFonts w:cstheme="minorHAnsi"/>
              </w:rPr>
              <w:t> 2016 already provides scope for the assessment of cumulative impacts where appropriate.</w:t>
            </w:r>
          </w:p>
          <w:p w14:paraId="23BCD965" w14:textId="77777777" w:rsidR="00472715" w:rsidRPr="00520C23" w:rsidRDefault="00472715" w:rsidP="00472715">
            <w:pPr>
              <w:spacing w:before="120"/>
              <w:rPr>
                <w:rFonts w:cstheme="minorHAnsi"/>
              </w:rPr>
            </w:pPr>
            <w:r w:rsidRPr="00520C23">
              <w:rPr>
                <w:rFonts w:cstheme="minorHAnsi"/>
              </w:rPr>
              <w:t>The NT EPA is providing advice to the Minister for Environment and Natural Resources on all environment management plans to assist with the Minister’s consideration of cumulative impacts.</w:t>
            </w:r>
          </w:p>
          <w:p w14:paraId="1EECAE34" w14:textId="77777777" w:rsidR="00472715" w:rsidRPr="00520C23" w:rsidRDefault="00472715" w:rsidP="00472715">
            <w:pPr>
              <w:spacing w:before="120"/>
              <w:rPr>
                <w:rFonts w:cstheme="minorHAnsi"/>
              </w:rPr>
            </w:pPr>
            <w:r w:rsidRPr="00520C23">
              <w:rPr>
                <w:rFonts w:cstheme="minorHAnsi"/>
              </w:rPr>
              <w:t>The Environment Protection Act 2019 establishes a reformed environmental impacts assessment and approval process for the Territory. It commenced on 28 June 2020 and requires environmental impact assessment and approval of proposed actions that have the potential to have a significant impact on the environment. The Act defines impact as including cumulative impacts.</w:t>
            </w:r>
          </w:p>
          <w:p w14:paraId="4B7AAC67" w14:textId="77777777" w:rsidR="00472715" w:rsidRPr="00520C23" w:rsidRDefault="00472715" w:rsidP="00472715">
            <w:pPr>
              <w:spacing w:before="120"/>
              <w:rPr>
                <w:rFonts w:cstheme="minorHAnsi"/>
              </w:rPr>
            </w:pPr>
          </w:p>
        </w:tc>
        <w:tc>
          <w:tcPr>
            <w:tcW w:w="5670" w:type="dxa"/>
            <w:shd w:val="clear" w:color="auto" w:fill="auto"/>
          </w:tcPr>
          <w:p w14:paraId="5E621ED7" w14:textId="77777777" w:rsidR="00472715" w:rsidRPr="00520C23" w:rsidRDefault="00472715" w:rsidP="00472715">
            <w:pPr>
              <w:spacing w:before="120"/>
              <w:rPr>
                <w:rFonts w:cstheme="minorHAnsi"/>
                <w:b/>
                <w:bCs/>
              </w:rPr>
            </w:pPr>
            <w:r w:rsidRPr="00520C23">
              <w:rPr>
                <w:rFonts w:cstheme="minorHAnsi"/>
                <w:b/>
                <w:bCs/>
              </w:rPr>
              <w:t>Petroleum (Environment) Regulations 2016:</w:t>
            </w:r>
          </w:p>
          <w:p w14:paraId="50D9CA40" w14:textId="4CA7D9FA" w:rsidR="00472715" w:rsidRPr="00520C23" w:rsidRDefault="00472715" w:rsidP="00472715">
            <w:pPr>
              <w:spacing w:before="120"/>
              <w:rPr>
                <w:rFonts w:cstheme="minorHAnsi"/>
                <w:u w:val="single"/>
              </w:rPr>
            </w:pPr>
            <w:r w:rsidRPr="00520C23">
              <w:rPr>
                <w:rFonts w:cstheme="minorHAnsi"/>
                <w:u w:val="single"/>
              </w:rPr>
              <w:t>Schedule 1, Part 1</w:t>
            </w:r>
          </w:p>
          <w:p w14:paraId="00124215" w14:textId="4F6AD77E" w:rsidR="00472715" w:rsidRPr="00520C23" w:rsidRDefault="00472715" w:rsidP="00472715">
            <w:pPr>
              <w:spacing w:before="120"/>
              <w:rPr>
                <w:rFonts w:cstheme="minorHAnsi"/>
                <w:u w:val="single"/>
              </w:rPr>
            </w:pPr>
            <w:r w:rsidRPr="00520C23">
              <w:rPr>
                <w:rFonts w:cstheme="minorHAnsi"/>
                <w:u w:val="single"/>
              </w:rPr>
              <w:t>3  Assessment   of   environmental   impacts   and environmental risks</w:t>
            </w:r>
          </w:p>
          <w:p w14:paraId="3CB9E7A2" w14:textId="77777777" w:rsidR="00472715" w:rsidRPr="00520C23" w:rsidRDefault="00472715" w:rsidP="00472715">
            <w:pPr>
              <w:pStyle w:val="ListParagraph"/>
              <w:numPr>
                <w:ilvl w:val="0"/>
                <w:numId w:val="72"/>
              </w:numPr>
              <w:spacing w:before="120"/>
              <w:ind w:left="431" w:hanging="431"/>
              <w:rPr>
                <w:rFonts w:cstheme="minorHAnsi"/>
                <w:i/>
                <w:iCs/>
              </w:rPr>
            </w:pPr>
            <w:r w:rsidRPr="00520C23">
              <w:rPr>
                <w:rFonts w:cstheme="minorHAnsi"/>
                <w:i/>
                <w:iCs/>
              </w:rPr>
              <w:t>A plan must include:</w:t>
            </w:r>
          </w:p>
          <w:p w14:paraId="2B39D346" w14:textId="224B459A" w:rsidR="00472715" w:rsidRPr="00520C23" w:rsidRDefault="00472715" w:rsidP="00472715">
            <w:pPr>
              <w:pStyle w:val="ListParagraph"/>
              <w:numPr>
                <w:ilvl w:val="0"/>
                <w:numId w:val="73"/>
              </w:numPr>
              <w:spacing w:before="120"/>
              <w:rPr>
                <w:rFonts w:cstheme="minorHAnsi"/>
                <w:i/>
                <w:iCs/>
              </w:rPr>
            </w:pPr>
            <w:r w:rsidRPr="00520C23">
              <w:rPr>
                <w:rFonts w:cstheme="minorHAnsi"/>
                <w:i/>
                <w:iCs/>
              </w:rPr>
              <w:t xml:space="preserve">details of all environmental impacts and environmental risks of the regulated activity described in the plan and an assessment of those impacts and risks; and </w:t>
            </w:r>
          </w:p>
          <w:p w14:paraId="2BF3DA75" w14:textId="77777777" w:rsidR="00472715" w:rsidRPr="00520C23" w:rsidRDefault="00472715" w:rsidP="00472715">
            <w:pPr>
              <w:pStyle w:val="ListParagraph"/>
              <w:numPr>
                <w:ilvl w:val="0"/>
                <w:numId w:val="73"/>
              </w:numPr>
              <w:spacing w:before="120"/>
              <w:rPr>
                <w:rFonts w:cstheme="minorHAnsi"/>
                <w:i/>
                <w:iCs/>
              </w:rPr>
            </w:pPr>
            <w:r w:rsidRPr="00520C23">
              <w:rPr>
                <w:rFonts w:cstheme="minorHAnsi"/>
                <w:i/>
                <w:iCs/>
              </w:rPr>
              <w:t>a description of the process used to assess the environmental impacts and environmental risks.</w:t>
            </w:r>
          </w:p>
          <w:p w14:paraId="08DFCA70" w14:textId="77777777" w:rsidR="00472715" w:rsidRPr="00520C23" w:rsidRDefault="00472715" w:rsidP="00472715">
            <w:pPr>
              <w:spacing w:before="120"/>
              <w:rPr>
                <w:rFonts w:cstheme="minorHAnsi"/>
                <w:i/>
                <w:iCs/>
              </w:rPr>
            </w:pPr>
            <w:r w:rsidRPr="00520C23">
              <w:rPr>
                <w:rFonts w:cstheme="minorHAnsi"/>
                <w:i/>
                <w:iCs/>
              </w:rPr>
              <w:t>(2) The assessment mentioned in subclause (1)(a) must be of:</w:t>
            </w:r>
          </w:p>
          <w:p w14:paraId="3C33B57B" w14:textId="5866B00B" w:rsidR="00472715" w:rsidRPr="00520C23" w:rsidRDefault="00472715" w:rsidP="00472715">
            <w:pPr>
              <w:pStyle w:val="ListParagraph"/>
              <w:numPr>
                <w:ilvl w:val="0"/>
                <w:numId w:val="74"/>
              </w:numPr>
              <w:spacing w:before="120"/>
              <w:rPr>
                <w:rFonts w:cstheme="minorHAnsi"/>
                <w:i/>
                <w:iCs/>
              </w:rPr>
            </w:pPr>
            <w:r w:rsidRPr="00520C23">
              <w:rPr>
                <w:rFonts w:cstheme="minorHAnsi"/>
                <w:i/>
                <w:iCs/>
              </w:rPr>
              <w:t>all  the  environmental  impacts  and  environmental  risks  arising  directly or indirectly from:</w:t>
            </w:r>
          </w:p>
          <w:p w14:paraId="3AE8A828" w14:textId="4E1145EE" w:rsidR="00472715" w:rsidRPr="00520C23" w:rsidRDefault="00472715" w:rsidP="00472715">
            <w:pPr>
              <w:pStyle w:val="ListParagraph"/>
              <w:numPr>
                <w:ilvl w:val="0"/>
                <w:numId w:val="75"/>
              </w:numPr>
              <w:spacing w:before="120"/>
              <w:ind w:left="1061"/>
              <w:rPr>
                <w:rFonts w:cstheme="minorHAnsi"/>
                <w:i/>
                <w:iCs/>
              </w:rPr>
            </w:pPr>
            <w:r w:rsidRPr="00520C23">
              <w:rPr>
                <w:rFonts w:cstheme="minorHAnsi"/>
                <w:i/>
                <w:iCs/>
              </w:rPr>
              <w:t>all aspects of the regulated activity; and</w:t>
            </w:r>
          </w:p>
          <w:p w14:paraId="1559F783" w14:textId="243FD439" w:rsidR="00472715" w:rsidRPr="00520C23" w:rsidRDefault="00472715" w:rsidP="00472715">
            <w:pPr>
              <w:pStyle w:val="ListParagraph"/>
              <w:numPr>
                <w:ilvl w:val="0"/>
                <w:numId w:val="75"/>
              </w:numPr>
              <w:spacing w:before="120"/>
              <w:ind w:left="1061"/>
              <w:rPr>
                <w:rFonts w:cstheme="minorHAnsi"/>
                <w:i/>
                <w:iCs/>
              </w:rPr>
            </w:pPr>
            <w:r w:rsidRPr="00520C23">
              <w:rPr>
                <w:rFonts w:cstheme="minorHAnsi"/>
                <w:i/>
                <w:iCs/>
              </w:rPr>
              <w:t>potential  emergency  conditions,  whether  resulting  from  an incident or any other reason; and</w:t>
            </w:r>
          </w:p>
          <w:p w14:paraId="1B389CDB" w14:textId="2E190876" w:rsidR="00472715" w:rsidRPr="00520C23" w:rsidRDefault="00472715" w:rsidP="00472715">
            <w:pPr>
              <w:pStyle w:val="ListParagraph"/>
              <w:numPr>
                <w:ilvl w:val="0"/>
                <w:numId w:val="74"/>
              </w:numPr>
              <w:spacing w:before="120"/>
              <w:rPr>
                <w:rFonts w:cstheme="minorHAnsi"/>
              </w:rPr>
            </w:pPr>
            <w:r w:rsidRPr="00520C23">
              <w:rPr>
                <w:rFonts w:cstheme="minorHAnsi"/>
                <w:i/>
                <w:iCs/>
              </w:rPr>
              <w:lastRenderedPageBreak/>
              <w:t>the   cumulative   effects   of   those   impacts   and   risks   when   considered  with  each  other  and  in  conjunction  with  any  other  activities  or  events  that  occurred  or  may  occur  in  or  near  the  permit area for the regulated activity.</w:t>
            </w:r>
          </w:p>
          <w:p w14:paraId="4E5DD0A0" w14:textId="3ECC58F8" w:rsidR="00472715" w:rsidRPr="00520C23" w:rsidRDefault="00472715" w:rsidP="00472715">
            <w:pPr>
              <w:spacing w:before="120"/>
              <w:rPr>
                <w:rFonts w:cstheme="minorHAnsi"/>
              </w:rPr>
            </w:pPr>
            <w:r w:rsidRPr="00520C23">
              <w:rPr>
                <w:rFonts w:cstheme="minorHAnsi"/>
              </w:rPr>
              <w:t>Example for clause 3(2)(b) of other activities or events:</w:t>
            </w:r>
          </w:p>
          <w:p w14:paraId="7ED5EB98" w14:textId="59447881" w:rsidR="00472715" w:rsidRPr="00520C23" w:rsidRDefault="00472715" w:rsidP="00472715">
            <w:pPr>
              <w:spacing w:before="120"/>
              <w:rPr>
                <w:rFonts w:cstheme="minorHAnsi"/>
                <w:i/>
                <w:iCs/>
              </w:rPr>
            </w:pPr>
            <w:r w:rsidRPr="00520C23">
              <w:rPr>
                <w:rFonts w:cstheme="minorHAnsi"/>
                <w:i/>
                <w:iCs/>
              </w:rPr>
              <w:t>Activities or events associated with:(a)  other exploration for, or production of, petroleum; or (b)  the exploration for, or extraction of, minerals or extractive minerals.</w:t>
            </w:r>
          </w:p>
          <w:p w14:paraId="387C4E4E" w14:textId="77777777" w:rsidR="00472715" w:rsidRPr="00520C23" w:rsidRDefault="00472715" w:rsidP="00472715">
            <w:pPr>
              <w:spacing w:before="120"/>
              <w:rPr>
                <w:rFonts w:cstheme="minorHAnsi"/>
                <w:u w:val="single"/>
              </w:rPr>
            </w:pPr>
            <w:r w:rsidRPr="00520C23">
              <w:rPr>
                <w:rFonts w:cstheme="minorHAnsi"/>
                <w:u w:val="single"/>
              </w:rPr>
              <w:t>Part 2 Environment management plans</w:t>
            </w:r>
          </w:p>
          <w:p w14:paraId="1FA38864" w14:textId="77777777" w:rsidR="00472715" w:rsidRPr="00520C23" w:rsidRDefault="00472715" w:rsidP="00472715">
            <w:pPr>
              <w:spacing w:before="120"/>
              <w:rPr>
                <w:rFonts w:cstheme="minorHAnsi"/>
                <w:u w:val="single"/>
              </w:rPr>
            </w:pPr>
            <w:r w:rsidRPr="00520C23">
              <w:rPr>
                <w:rFonts w:cstheme="minorHAnsi"/>
                <w:u w:val="single"/>
              </w:rPr>
              <w:t>Division 1 Submission of environment management plan for approval</w:t>
            </w:r>
          </w:p>
          <w:p w14:paraId="4784B869" w14:textId="49A37A9C" w:rsidR="00472715" w:rsidRPr="00520C23" w:rsidRDefault="00472715" w:rsidP="00472715">
            <w:pPr>
              <w:spacing w:before="120"/>
              <w:rPr>
                <w:rFonts w:cstheme="minorHAnsi"/>
                <w:u w:val="single"/>
              </w:rPr>
            </w:pPr>
            <w:r w:rsidRPr="00520C23">
              <w:rPr>
                <w:rFonts w:cstheme="minorHAnsi"/>
                <w:u w:val="single"/>
              </w:rPr>
              <w:t>6 Submission of plan for approval</w:t>
            </w:r>
          </w:p>
          <w:p w14:paraId="3C34CFF9" w14:textId="1C24B6C7" w:rsidR="00472715" w:rsidRPr="00520C23" w:rsidRDefault="00472715" w:rsidP="00472715">
            <w:pPr>
              <w:spacing w:before="120"/>
              <w:rPr>
                <w:rFonts w:cstheme="minorHAnsi"/>
                <w:i/>
                <w:iCs/>
              </w:rPr>
            </w:pPr>
            <w:r w:rsidRPr="00520C23">
              <w:rPr>
                <w:rFonts w:cstheme="minorHAnsi"/>
                <w:i/>
                <w:iCs/>
              </w:rPr>
              <w:t xml:space="preserve">(1) An  interest  holder  who  proposes  to  carry  out  a  regulated  activity  must  first  submit  to  the  Minister,  for  approval,  an  environment  management plan relating to the activity.  </w:t>
            </w:r>
          </w:p>
        </w:tc>
        <w:tc>
          <w:tcPr>
            <w:tcW w:w="5310" w:type="dxa"/>
            <w:shd w:val="clear" w:color="auto" w:fill="E2EFD9" w:themeFill="accent6" w:themeFillTint="33"/>
          </w:tcPr>
          <w:p w14:paraId="511B5427" w14:textId="5A4B57D5" w:rsidR="00472715" w:rsidRPr="00520C23" w:rsidRDefault="00472715" w:rsidP="00472715">
            <w:pPr>
              <w:spacing w:before="120"/>
              <w:rPr>
                <w:rFonts w:cstheme="minorHAnsi"/>
              </w:rPr>
            </w:pPr>
            <w:r w:rsidRPr="00520C23">
              <w:rPr>
                <w:rFonts w:cstheme="minorHAnsi"/>
              </w:rPr>
              <w:lastRenderedPageBreak/>
              <w:t xml:space="preserve">The PER adequately address recommendation 14.21. EMPs must assess cumulative impacts, and the Minister must approve these plans. </w:t>
            </w:r>
          </w:p>
        </w:tc>
      </w:tr>
      <w:tr w:rsidR="00EA3C33" w:rsidRPr="00520C23" w14:paraId="1C46A9B3" w14:textId="6CAB8146" w:rsidTr="00EA3C33">
        <w:tc>
          <w:tcPr>
            <w:tcW w:w="846" w:type="dxa"/>
            <w:shd w:val="clear" w:color="auto" w:fill="auto"/>
          </w:tcPr>
          <w:p w14:paraId="093DE6E4" w14:textId="77777777" w:rsidR="00472715" w:rsidRPr="00520C23" w:rsidRDefault="00472715" w:rsidP="00472715">
            <w:pPr>
              <w:spacing w:before="120"/>
              <w:jc w:val="center"/>
              <w:rPr>
                <w:rFonts w:cstheme="minorHAnsi"/>
              </w:rPr>
            </w:pPr>
            <w:r w:rsidRPr="00520C23">
              <w:rPr>
                <w:rFonts w:cstheme="minorHAnsi"/>
              </w:rPr>
              <w:t>14.23</w:t>
            </w:r>
          </w:p>
        </w:tc>
        <w:tc>
          <w:tcPr>
            <w:tcW w:w="4819" w:type="dxa"/>
            <w:shd w:val="clear" w:color="auto" w:fill="auto"/>
          </w:tcPr>
          <w:p w14:paraId="2A1FAD43" w14:textId="1BFBD258"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the Petroleum Act and Petroleum Environment Regulations be amended to allow open standing to challenge administrative decisions made under these enactments. </w:t>
            </w:r>
          </w:p>
        </w:tc>
        <w:tc>
          <w:tcPr>
            <w:tcW w:w="5760" w:type="dxa"/>
            <w:shd w:val="clear" w:color="auto" w:fill="auto"/>
          </w:tcPr>
          <w:p w14:paraId="368DAA4B" w14:textId="305E6B55" w:rsidR="00472715" w:rsidRPr="00520C23" w:rsidRDefault="00472715" w:rsidP="00472715">
            <w:pPr>
              <w:spacing w:before="120"/>
              <w:rPr>
                <w:rFonts w:ascii="Calibri" w:eastAsia="Calibri" w:hAnsi="Calibri" w:cs="Calibri"/>
                <w:color w:val="313131"/>
              </w:rPr>
            </w:pPr>
            <w:r w:rsidRPr="00520C23">
              <w:rPr>
                <w:rFonts w:ascii="Calibri" w:eastAsia="Calibri" w:hAnsi="Calibri" w:cs="Calibri"/>
                <w:color w:val="313131"/>
              </w:rPr>
              <w:t xml:space="preserve">The </w:t>
            </w:r>
            <w:r w:rsidRPr="00520C23">
              <w:rPr>
                <w:rFonts w:ascii="Calibri" w:eastAsia="Calibri" w:hAnsi="Calibri" w:cs="Calibri"/>
                <w:i/>
                <w:iCs/>
                <w:color w:val="313131"/>
              </w:rPr>
              <w:t>Petroleum Act 1984</w:t>
            </w:r>
            <w:r w:rsidRPr="00520C23">
              <w:rPr>
                <w:rFonts w:ascii="Calibri" w:eastAsia="Calibri" w:hAnsi="Calibri" w:cs="Calibri"/>
                <w:color w:val="313131"/>
              </w:rPr>
              <w:t xml:space="preserve"> was amended in March 2019 to enable open standing for persons to seek judicial review of decisions within the </w:t>
            </w:r>
            <w:r w:rsidRPr="00520C23">
              <w:rPr>
                <w:rFonts w:ascii="Calibri" w:eastAsia="Calibri" w:hAnsi="Calibri" w:cs="Calibri"/>
                <w:i/>
                <w:iCs/>
                <w:color w:val="313131"/>
              </w:rPr>
              <w:t>Petroleum Act 1984</w:t>
            </w:r>
            <w:r w:rsidRPr="00520C23">
              <w:rPr>
                <w:rFonts w:ascii="Calibri" w:eastAsia="Calibri" w:hAnsi="Calibri" w:cs="Calibri"/>
                <w:color w:val="313131"/>
              </w:rPr>
              <w:t xml:space="preserve"> and Petroleum (Environment) Regulations 2016, as outlined in the legislation. The changes to the legislation came into effect in April 2019.</w:t>
            </w:r>
          </w:p>
        </w:tc>
        <w:tc>
          <w:tcPr>
            <w:tcW w:w="5670" w:type="dxa"/>
            <w:shd w:val="clear" w:color="auto" w:fill="auto"/>
          </w:tcPr>
          <w:p w14:paraId="02E84C45" w14:textId="03C1A2C2" w:rsidR="00472715" w:rsidRPr="00520C23" w:rsidRDefault="00472715" w:rsidP="00472715">
            <w:pPr>
              <w:spacing w:before="120"/>
              <w:rPr>
                <w:rFonts w:cstheme="minorHAnsi"/>
              </w:rPr>
            </w:pPr>
            <w:r w:rsidRPr="00520C23">
              <w:rPr>
                <w:rFonts w:cstheme="minorHAnsi"/>
              </w:rPr>
              <w:t xml:space="preserve">Amendments to </w:t>
            </w:r>
            <w:r w:rsidRPr="00520C23">
              <w:rPr>
                <w:rFonts w:cstheme="minorHAnsi"/>
                <w:b/>
                <w:i/>
              </w:rPr>
              <w:t>Petroleum (Environment) Regulations</w:t>
            </w:r>
            <w:r w:rsidRPr="00520C23">
              <w:rPr>
                <w:rFonts w:cstheme="minorHAnsi"/>
                <w:b/>
              </w:rPr>
              <w:t xml:space="preserve"> </w:t>
            </w:r>
            <w:r w:rsidRPr="00520C23">
              <w:rPr>
                <w:rFonts w:cstheme="minorHAnsi"/>
              </w:rPr>
              <w:t xml:space="preserve">and </w:t>
            </w:r>
            <w:r w:rsidRPr="00520C23">
              <w:rPr>
                <w:rFonts w:cstheme="minorHAnsi"/>
                <w:b/>
                <w:i/>
              </w:rPr>
              <w:t>Petroleum Act 1984</w:t>
            </w:r>
            <w:r w:rsidRPr="00520C23">
              <w:rPr>
                <w:rFonts w:cstheme="minorHAnsi"/>
              </w:rPr>
              <w:t xml:space="preserve"> allow this standing.</w:t>
            </w:r>
          </w:p>
          <w:p w14:paraId="04B634F6" w14:textId="77777777" w:rsidR="00472715" w:rsidRPr="00520C23" w:rsidRDefault="00472715" w:rsidP="00472715">
            <w:pPr>
              <w:spacing w:before="120"/>
              <w:rPr>
                <w:rFonts w:cstheme="minorHAnsi"/>
                <w:b/>
                <w:i/>
              </w:rPr>
            </w:pPr>
            <w:r w:rsidRPr="00520C23">
              <w:rPr>
                <w:rFonts w:cstheme="minorHAnsi"/>
                <w:b/>
                <w:i/>
              </w:rPr>
              <w:t xml:space="preserve">Petroleum (Environment) Regulations </w:t>
            </w:r>
          </w:p>
          <w:p w14:paraId="64F15118" w14:textId="0E2035A2" w:rsidR="00472715" w:rsidRPr="00520C23" w:rsidRDefault="00472715" w:rsidP="00472715">
            <w:pPr>
              <w:spacing w:before="120"/>
              <w:rPr>
                <w:rFonts w:cstheme="minorHAnsi"/>
                <w:u w:val="single"/>
              </w:rPr>
            </w:pPr>
            <w:r w:rsidRPr="00520C23">
              <w:rPr>
                <w:rFonts w:cstheme="minorHAnsi"/>
                <w:u w:val="single"/>
              </w:rPr>
              <w:t xml:space="preserve">Division 7 Review of decisions </w:t>
            </w:r>
          </w:p>
          <w:p w14:paraId="18C0F238" w14:textId="77777777" w:rsidR="00472715" w:rsidRPr="00520C23" w:rsidRDefault="00472715" w:rsidP="00472715">
            <w:pPr>
              <w:spacing w:before="120"/>
              <w:rPr>
                <w:rFonts w:cstheme="minorHAnsi"/>
                <w:u w:val="single"/>
              </w:rPr>
            </w:pPr>
            <w:r w:rsidRPr="00520C23">
              <w:rPr>
                <w:rFonts w:cstheme="minorHAnsi"/>
                <w:u w:val="single"/>
              </w:rPr>
              <w:t xml:space="preserve">Subdivision 1 Judicial review </w:t>
            </w:r>
          </w:p>
          <w:p w14:paraId="3D19196C" w14:textId="77777777" w:rsidR="00472715" w:rsidRPr="00520C23" w:rsidRDefault="00472715" w:rsidP="00472715">
            <w:pPr>
              <w:spacing w:before="120"/>
              <w:rPr>
                <w:rFonts w:cstheme="minorHAnsi"/>
                <w:u w:val="single"/>
              </w:rPr>
            </w:pPr>
            <w:r w:rsidRPr="00520C23">
              <w:rPr>
                <w:rFonts w:cstheme="minorHAnsi"/>
                <w:u w:val="single"/>
              </w:rPr>
              <w:t xml:space="preserve">29AA Judicial review of decision </w:t>
            </w:r>
          </w:p>
          <w:p w14:paraId="78130492" w14:textId="40418B23" w:rsidR="00472715" w:rsidRPr="00520C23" w:rsidRDefault="00472715" w:rsidP="00472715">
            <w:pPr>
              <w:spacing w:before="120"/>
              <w:rPr>
                <w:rFonts w:cstheme="minorHAnsi"/>
                <w:i/>
                <w:iCs/>
              </w:rPr>
            </w:pPr>
            <w:r w:rsidRPr="00520C23">
              <w:rPr>
                <w:rFonts w:cstheme="minorHAnsi"/>
                <w:i/>
                <w:iCs/>
              </w:rPr>
              <w:t xml:space="preserve">Any person may seek judicial review by the Supreme Court of a decision specified in Schedule 1A, whether or not any right of the person has been affected by, or as a consequence of, the decision. </w:t>
            </w:r>
          </w:p>
          <w:p w14:paraId="189DEE8D" w14:textId="5D00FD1E" w:rsidR="00472715" w:rsidRPr="00520C23" w:rsidRDefault="00472715" w:rsidP="00472715">
            <w:pPr>
              <w:spacing w:before="120"/>
              <w:rPr>
                <w:rFonts w:cstheme="minorHAnsi"/>
                <w:b/>
              </w:rPr>
            </w:pPr>
            <w:r w:rsidRPr="00520C23">
              <w:rPr>
                <w:rFonts w:cstheme="minorHAnsi"/>
                <w:b/>
                <w:i/>
              </w:rPr>
              <w:t>Petroleum Act</w:t>
            </w:r>
            <w:r w:rsidRPr="00520C23">
              <w:rPr>
                <w:rFonts w:cstheme="minorHAnsi"/>
                <w:b/>
              </w:rPr>
              <w:t xml:space="preserve"> </w:t>
            </w:r>
            <w:r w:rsidRPr="00520C23">
              <w:rPr>
                <w:rFonts w:cstheme="minorHAnsi"/>
                <w:b/>
                <w:i/>
              </w:rPr>
              <w:t>1984</w:t>
            </w:r>
          </w:p>
          <w:p w14:paraId="1E66F657" w14:textId="78DE25B5" w:rsidR="00472715" w:rsidRPr="00520C23" w:rsidRDefault="00472715" w:rsidP="00472715">
            <w:pPr>
              <w:spacing w:before="120"/>
              <w:rPr>
                <w:rFonts w:cstheme="minorHAnsi"/>
                <w:u w:val="single"/>
              </w:rPr>
            </w:pPr>
            <w:r w:rsidRPr="00520C23">
              <w:rPr>
                <w:rFonts w:cstheme="minorHAnsi"/>
                <w:u w:val="single"/>
              </w:rPr>
              <w:t xml:space="preserve">Part II Division 6 Review of determinations </w:t>
            </w:r>
          </w:p>
          <w:p w14:paraId="6F052006" w14:textId="77777777" w:rsidR="00472715" w:rsidRPr="00520C23" w:rsidRDefault="00472715" w:rsidP="00472715">
            <w:pPr>
              <w:spacing w:before="120"/>
              <w:rPr>
                <w:rFonts w:cstheme="minorHAnsi"/>
                <w:u w:val="single"/>
              </w:rPr>
            </w:pPr>
            <w:r w:rsidRPr="00520C23">
              <w:rPr>
                <w:rFonts w:cstheme="minorHAnsi"/>
                <w:u w:val="single"/>
              </w:rPr>
              <w:t xml:space="preserve">Subdivision 1 Judicial review </w:t>
            </w:r>
          </w:p>
          <w:p w14:paraId="32AA7DC4" w14:textId="77777777" w:rsidR="00472715" w:rsidRPr="00520C23" w:rsidRDefault="00472715" w:rsidP="00472715">
            <w:pPr>
              <w:spacing w:before="120"/>
              <w:rPr>
                <w:rFonts w:cstheme="minorHAnsi"/>
                <w:u w:val="single"/>
              </w:rPr>
            </w:pPr>
            <w:r w:rsidRPr="00520C23">
              <w:rPr>
                <w:rFonts w:cstheme="minorHAnsi"/>
                <w:u w:val="single"/>
              </w:rPr>
              <w:t xml:space="preserve">57ABA Judicial review of decision or determination </w:t>
            </w:r>
          </w:p>
          <w:p w14:paraId="755B5A4B" w14:textId="65F00D52" w:rsidR="00472715" w:rsidRPr="00520C23" w:rsidRDefault="00472715" w:rsidP="00472715">
            <w:pPr>
              <w:spacing w:before="120"/>
              <w:rPr>
                <w:rFonts w:cstheme="minorHAnsi"/>
                <w:i/>
                <w:iCs/>
              </w:rPr>
            </w:pPr>
            <w:r w:rsidRPr="00520C23">
              <w:rPr>
                <w:rFonts w:cstheme="minorHAnsi"/>
                <w:i/>
                <w:iCs/>
              </w:rPr>
              <w:t xml:space="preserve">Any person may seek judicial review by the Supreme Court of a decision or determination specified in the Schedule, whether or not any right of the person has been affected by, or as a consequence of, the decision or determination. </w:t>
            </w:r>
          </w:p>
        </w:tc>
        <w:tc>
          <w:tcPr>
            <w:tcW w:w="5310" w:type="dxa"/>
            <w:shd w:val="clear" w:color="auto" w:fill="E2EFD9" w:themeFill="accent6" w:themeFillTint="33"/>
          </w:tcPr>
          <w:p w14:paraId="30CCD208" w14:textId="58B12EF0" w:rsidR="00472715" w:rsidRPr="00520C23" w:rsidRDefault="00472715" w:rsidP="00472715">
            <w:pPr>
              <w:spacing w:before="120"/>
              <w:rPr>
                <w:rFonts w:cstheme="minorHAnsi"/>
              </w:rPr>
            </w:pPr>
            <w:r w:rsidRPr="00520C23">
              <w:rPr>
                <w:rFonts w:cstheme="minorHAnsi"/>
              </w:rPr>
              <w:t xml:space="preserve">The </w:t>
            </w:r>
            <w:r w:rsidRPr="00520C23">
              <w:rPr>
                <w:rFonts w:cstheme="minorHAnsi"/>
                <w:i/>
                <w:iCs/>
              </w:rPr>
              <w:t xml:space="preserve">Petroleum (Environment) Regulations 2016 </w:t>
            </w:r>
            <w:r w:rsidRPr="00520C23">
              <w:rPr>
                <w:rFonts w:cstheme="minorHAnsi"/>
              </w:rPr>
              <w:t xml:space="preserve">and </w:t>
            </w:r>
            <w:r w:rsidRPr="00520C23">
              <w:rPr>
                <w:rFonts w:cstheme="minorHAnsi"/>
                <w:i/>
                <w:iCs/>
              </w:rPr>
              <w:t>Petroleum Act</w:t>
            </w:r>
            <w:r w:rsidRPr="00520C23">
              <w:rPr>
                <w:rFonts w:cstheme="minorHAnsi"/>
              </w:rPr>
              <w:t xml:space="preserve"> </w:t>
            </w:r>
            <w:r w:rsidRPr="00520C23">
              <w:rPr>
                <w:rFonts w:cstheme="minorHAnsi"/>
                <w:i/>
                <w:iCs/>
              </w:rPr>
              <w:t xml:space="preserve">1984 </w:t>
            </w:r>
            <w:r w:rsidRPr="00520C23">
              <w:rPr>
                <w:rFonts w:cstheme="minorHAnsi"/>
              </w:rPr>
              <w:t xml:space="preserve">adequately address recommendation 14.23. </w:t>
            </w:r>
          </w:p>
          <w:p w14:paraId="5C5BA196" w14:textId="6BC5DEA4" w:rsidR="00472715" w:rsidRPr="00520C23" w:rsidRDefault="00472715" w:rsidP="00472715">
            <w:pPr>
              <w:spacing w:before="120"/>
              <w:rPr>
                <w:rFonts w:cstheme="minorHAnsi"/>
              </w:rPr>
            </w:pPr>
          </w:p>
        </w:tc>
      </w:tr>
      <w:tr w:rsidR="00EA3C33" w:rsidRPr="00520C23" w14:paraId="3884CDED" w14:textId="77777777" w:rsidTr="00EA3C33">
        <w:tc>
          <w:tcPr>
            <w:tcW w:w="846" w:type="dxa"/>
            <w:shd w:val="clear" w:color="auto" w:fill="auto"/>
          </w:tcPr>
          <w:p w14:paraId="48019571" w14:textId="1950F790" w:rsidR="00472715" w:rsidRPr="00520C23" w:rsidRDefault="00472715" w:rsidP="00472715">
            <w:pPr>
              <w:spacing w:before="120"/>
              <w:jc w:val="center"/>
              <w:rPr>
                <w:rFonts w:cstheme="minorHAnsi"/>
              </w:rPr>
            </w:pPr>
            <w:r>
              <w:rPr>
                <w:rFonts w:cstheme="minorHAnsi"/>
              </w:rPr>
              <w:t>14.24</w:t>
            </w:r>
          </w:p>
        </w:tc>
        <w:tc>
          <w:tcPr>
            <w:tcW w:w="4819" w:type="dxa"/>
            <w:shd w:val="clear" w:color="auto" w:fill="auto"/>
          </w:tcPr>
          <w:p w14:paraId="510CC4C1" w14:textId="77777777" w:rsidR="00472715" w:rsidRPr="00F86A86" w:rsidRDefault="00472715" w:rsidP="00472715">
            <w:pPr>
              <w:spacing w:before="120"/>
              <w:rPr>
                <w:rFonts w:cstheme="minorHAnsi"/>
                <w:i/>
                <w:iCs/>
                <w:lang w:val="en-US"/>
              </w:rPr>
            </w:pPr>
            <w:r w:rsidRPr="00F86A86">
              <w:rPr>
                <w:rFonts w:cstheme="minorHAnsi"/>
                <w:i/>
                <w:iCs/>
                <w:lang w:val="en-US"/>
              </w:rPr>
              <w:t>That prior to the granting of any further production approvals, merits review be available in relation to decisions under the Petroleum Act and Petroleum Environment Regulations including, but not limited to, decisions made in relation to the granting of all Environment Management Plans.</w:t>
            </w:r>
          </w:p>
          <w:p w14:paraId="71E506B0" w14:textId="77777777" w:rsidR="00472715" w:rsidRPr="00F86A86" w:rsidRDefault="00472715" w:rsidP="00472715">
            <w:pPr>
              <w:spacing w:before="120"/>
              <w:rPr>
                <w:rFonts w:cstheme="minorHAnsi"/>
                <w:i/>
                <w:iCs/>
                <w:lang w:val="en-US"/>
              </w:rPr>
            </w:pPr>
            <w:r w:rsidRPr="00F86A86">
              <w:rPr>
                <w:rFonts w:cstheme="minorHAnsi"/>
                <w:i/>
                <w:iCs/>
                <w:lang w:val="en-US"/>
              </w:rPr>
              <w:t>That, at a minimum, the following third parties have standing to seek merits review:</w:t>
            </w:r>
          </w:p>
          <w:p w14:paraId="7A3E8153"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lastRenderedPageBreak/>
              <w:t>proponents (that is, gas companies) seeking a permit, approval, application, licence or permission to engage in onshore shale gas activity;</w:t>
            </w:r>
          </w:p>
          <w:p w14:paraId="4AF442DD"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t>persons who are directly or indirectly affected by the decision;</w:t>
            </w:r>
          </w:p>
          <w:p w14:paraId="17B5FFEA"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t>members of an organised environmental, community or industry group;</w:t>
            </w:r>
          </w:p>
          <w:p w14:paraId="3C276F80"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t>Aboriginal Land Councils;</w:t>
            </w:r>
          </w:p>
          <w:p w14:paraId="4FED63E1"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t>Registered Native Title Prescribed Body Corporate and registered claimants under the Native Title Act;</w:t>
            </w:r>
          </w:p>
          <w:p w14:paraId="611D9B88"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t>local government bodies; and</w:t>
            </w:r>
          </w:p>
          <w:p w14:paraId="47E4A6B8" w14:textId="77777777" w:rsidR="00472715" w:rsidRPr="00F86A86" w:rsidRDefault="00472715" w:rsidP="00472715">
            <w:pPr>
              <w:numPr>
                <w:ilvl w:val="0"/>
                <w:numId w:val="110"/>
              </w:numPr>
              <w:spacing w:before="120"/>
              <w:rPr>
                <w:rFonts w:cstheme="minorHAnsi"/>
                <w:i/>
                <w:iCs/>
                <w:lang w:val="en-US"/>
              </w:rPr>
            </w:pPr>
            <w:r w:rsidRPr="00F86A86">
              <w:rPr>
                <w:rFonts w:cstheme="minorHAnsi"/>
                <w:i/>
                <w:iCs/>
                <w:lang w:val="en-US"/>
              </w:rPr>
              <w:t>persons who have made a genuine and valid objection during any assessment or approval process.</w:t>
            </w:r>
          </w:p>
          <w:p w14:paraId="29DCB36B" w14:textId="77777777" w:rsidR="00472715" w:rsidRPr="00F86A86" w:rsidRDefault="00472715" w:rsidP="00472715">
            <w:pPr>
              <w:spacing w:before="120"/>
              <w:rPr>
                <w:rFonts w:cstheme="minorHAnsi"/>
                <w:i/>
                <w:iCs/>
                <w:lang w:val="en-US"/>
              </w:rPr>
            </w:pPr>
            <w:r w:rsidRPr="00F86A86">
              <w:rPr>
                <w:rFonts w:cstheme="minorHAnsi"/>
                <w:i/>
                <w:iCs/>
                <w:lang w:val="en-US"/>
              </w:rPr>
              <w:t>That an independent body, such as NTCAT, be given jurisdiction to hear merits review proceedings in relation to any onshore shale gas industry.</w:t>
            </w:r>
          </w:p>
          <w:p w14:paraId="7FCEF580" w14:textId="77777777" w:rsidR="00472715" w:rsidRPr="00F86A86" w:rsidRDefault="00472715" w:rsidP="00472715">
            <w:pPr>
              <w:spacing w:before="120"/>
              <w:rPr>
                <w:rFonts w:cstheme="minorHAnsi"/>
                <w:i/>
                <w:iCs/>
                <w:lang w:val="en-US"/>
              </w:rPr>
            </w:pPr>
          </w:p>
        </w:tc>
        <w:tc>
          <w:tcPr>
            <w:tcW w:w="5760" w:type="dxa"/>
            <w:shd w:val="clear" w:color="auto" w:fill="auto"/>
          </w:tcPr>
          <w:p w14:paraId="01B81DEB" w14:textId="13262727" w:rsidR="00472715" w:rsidRPr="00F86A86" w:rsidRDefault="00472715" w:rsidP="00472715">
            <w:pPr>
              <w:spacing w:before="120"/>
              <w:rPr>
                <w:rFonts w:ascii="Calibri" w:eastAsia="Calibri" w:hAnsi="Calibri" w:cs="Calibri"/>
                <w:color w:val="313131"/>
                <w:lang w:val="en-US"/>
              </w:rPr>
            </w:pPr>
            <w:r w:rsidRPr="00F86A86">
              <w:rPr>
                <w:rFonts w:ascii="Calibri" w:eastAsia="Calibri" w:hAnsi="Calibri" w:cs="Calibri"/>
                <w:color w:val="313131"/>
                <w:lang w:val="en-US"/>
              </w:rPr>
              <w:lastRenderedPageBreak/>
              <w:t xml:space="preserve">The </w:t>
            </w:r>
            <w:hyperlink r:id="rId96" w:history="1">
              <w:r w:rsidRPr="00F86A86">
                <w:rPr>
                  <w:rStyle w:val="Hyperlink"/>
                  <w:rFonts w:ascii="Calibri" w:eastAsia="Calibri" w:hAnsi="Calibri" w:cs="Calibri"/>
                  <w:lang w:val="en-US"/>
                </w:rPr>
                <w:t>Petroleum Legislation Amendment Bill 2022</w:t>
              </w:r>
            </w:hyperlink>
            <w:r w:rsidRPr="00F86A86">
              <w:rPr>
                <w:rFonts w:ascii="Calibri" w:eastAsia="Calibri" w:hAnsi="Calibri" w:cs="Calibri"/>
                <w:color w:val="313131"/>
                <w:lang w:val="en-US"/>
              </w:rPr>
              <w:t xml:space="preserve"> was introduced in the Legislative Assembly on 12 October 2022, passed on 1 December 2022 and assented to on 16 December 2022. Refer to </w:t>
            </w:r>
            <w:hyperlink r:id="rId97" w:history="1">
              <w:r w:rsidRPr="00F86A86">
                <w:rPr>
                  <w:rStyle w:val="Hyperlink"/>
                  <w:rFonts w:ascii="Calibri" w:eastAsia="Calibri" w:hAnsi="Calibri" w:cs="Calibri"/>
                  <w:lang w:val="en-US"/>
                </w:rPr>
                <w:t>Special Gazette S64 PDF (182.5 KB)</w:t>
              </w:r>
            </w:hyperlink>
            <w:r w:rsidRPr="00F86A86">
              <w:rPr>
                <w:rFonts w:ascii="Calibri" w:eastAsia="Calibri" w:hAnsi="Calibri" w:cs="Calibri"/>
                <w:color w:val="313131"/>
                <w:lang w:val="en-US"/>
              </w:rPr>
              <w:t> published on 19 December 2022. Amendments to the </w:t>
            </w:r>
            <w:r w:rsidRPr="00F86A86">
              <w:rPr>
                <w:rFonts w:ascii="Calibri" w:eastAsia="Calibri" w:hAnsi="Calibri" w:cs="Calibri"/>
                <w:i/>
                <w:iCs/>
                <w:color w:val="313131"/>
                <w:lang w:val="en-US"/>
              </w:rPr>
              <w:t>Petroleum Act 1984 </w:t>
            </w:r>
            <w:r w:rsidRPr="00F86A86">
              <w:rPr>
                <w:rFonts w:ascii="Calibri" w:eastAsia="Calibri" w:hAnsi="Calibri" w:cs="Calibri"/>
                <w:color w:val="313131"/>
                <w:lang w:val="en-US"/>
              </w:rPr>
              <w:t>and Petroleum (Environment) Regulations (2016) will provide significantly expanded opportunities for merits review to meet this recommendation.</w:t>
            </w:r>
          </w:p>
          <w:p w14:paraId="0F607C51" w14:textId="77777777" w:rsidR="00472715" w:rsidRPr="00F86A86" w:rsidRDefault="00472715" w:rsidP="00472715">
            <w:pPr>
              <w:spacing w:before="120"/>
              <w:rPr>
                <w:rFonts w:ascii="Calibri" w:eastAsia="Calibri" w:hAnsi="Calibri" w:cs="Calibri"/>
                <w:color w:val="313131"/>
                <w:lang w:val="en-US"/>
              </w:rPr>
            </w:pPr>
            <w:r w:rsidRPr="00F86A86">
              <w:rPr>
                <w:rFonts w:ascii="Calibri" w:eastAsia="Calibri" w:hAnsi="Calibri" w:cs="Calibri"/>
                <w:color w:val="313131"/>
                <w:lang w:val="en-US"/>
              </w:rPr>
              <w:lastRenderedPageBreak/>
              <w:t>The Bill identifies how and when third parties can seek merits review and lists the key decisions which can be challenged. These key decisions being decisions to release specified blocks of land for exploration, decisions to grant a petroleum exploration permit, and the approval of all Environment Management Plans.</w:t>
            </w:r>
          </w:p>
          <w:p w14:paraId="038DEEE5" w14:textId="77777777" w:rsidR="00472715" w:rsidRPr="00F86A86" w:rsidRDefault="00472715" w:rsidP="00472715">
            <w:pPr>
              <w:spacing w:before="120"/>
              <w:rPr>
                <w:rFonts w:ascii="Calibri" w:eastAsia="Calibri" w:hAnsi="Calibri" w:cs="Calibri"/>
                <w:color w:val="313131"/>
                <w:lang w:val="en-US"/>
              </w:rPr>
            </w:pPr>
            <w:r w:rsidRPr="00F86A86">
              <w:rPr>
                <w:rFonts w:ascii="Calibri" w:eastAsia="Calibri" w:hAnsi="Calibri" w:cs="Calibri"/>
                <w:color w:val="313131"/>
                <w:lang w:val="en-US"/>
              </w:rPr>
              <w:t>The Bill establishes the Northern Territory Civil Administration Tribunal (NTCAT) as an independent decision maker who can reconsider key decisions made by the Resources Minister and the Environment Minister, as well as other decisions made by authorised inspectors and agency CEOs.</w:t>
            </w:r>
          </w:p>
          <w:p w14:paraId="41AD2D74" w14:textId="77777777" w:rsidR="00472715" w:rsidRPr="00F86A86" w:rsidRDefault="00472715" w:rsidP="00472715">
            <w:pPr>
              <w:spacing w:before="120"/>
              <w:rPr>
                <w:rFonts w:ascii="Calibri" w:eastAsia="Calibri" w:hAnsi="Calibri" w:cs="Calibri"/>
                <w:color w:val="313131"/>
                <w:lang w:val="en-US"/>
              </w:rPr>
            </w:pPr>
          </w:p>
        </w:tc>
        <w:tc>
          <w:tcPr>
            <w:tcW w:w="5670" w:type="dxa"/>
            <w:shd w:val="clear" w:color="auto" w:fill="auto"/>
          </w:tcPr>
          <w:p w14:paraId="51733EEE" w14:textId="77777777" w:rsidR="00F86FE9" w:rsidRDefault="00F86FE9" w:rsidP="00472715">
            <w:pPr>
              <w:spacing w:before="120"/>
              <w:rPr>
                <w:rFonts w:cstheme="minorHAnsi"/>
                <w:b/>
                <w:bCs/>
                <w:lang w:val="en-US"/>
              </w:rPr>
            </w:pPr>
            <w:r w:rsidRPr="00F86FE9">
              <w:rPr>
                <w:rFonts w:cstheme="minorHAnsi"/>
                <w:b/>
                <w:bCs/>
                <w:lang w:val="en-US"/>
              </w:rPr>
              <w:lastRenderedPageBreak/>
              <w:t xml:space="preserve">Amendment of Petroleum (Environment) Regulations 2016 </w:t>
            </w:r>
          </w:p>
          <w:p w14:paraId="4B0DEA5B" w14:textId="2E0D5B45" w:rsidR="00472715" w:rsidRPr="000A0EE2" w:rsidRDefault="00472715" w:rsidP="00472715">
            <w:pPr>
              <w:spacing w:before="120"/>
              <w:rPr>
                <w:rFonts w:cstheme="minorHAnsi"/>
                <w:b/>
                <w:bCs/>
              </w:rPr>
            </w:pPr>
            <w:r w:rsidRPr="000A0EE2">
              <w:rPr>
                <w:rFonts w:cstheme="minorHAnsi"/>
                <w:b/>
                <w:bCs/>
              </w:rPr>
              <w:t>29 Review by Tribunal</w:t>
            </w:r>
          </w:p>
          <w:p w14:paraId="682E2D6D" w14:textId="30533F41" w:rsidR="00472715" w:rsidRDefault="00472715" w:rsidP="00472715">
            <w:pPr>
              <w:spacing w:before="120"/>
              <w:rPr>
                <w:rFonts w:cstheme="minorHAnsi"/>
              </w:rPr>
            </w:pPr>
            <w:r w:rsidRPr="006C7773">
              <w:rPr>
                <w:rFonts w:cstheme="minorHAnsi"/>
              </w:rPr>
              <w:t>(1) The Tribunal has jurisdiction to review a decision or determination (a reviewable decision) specified in Schedule 2.</w:t>
            </w:r>
          </w:p>
          <w:p w14:paraId="35B89B5B" w14:textId="187FEA73" w:rsidR="00472715" w:rsidRDefault="00472715" w:rsidP="00472715">
            <w:pPr>
              <w:spacing w:before="120"/>
              <w:rPr>
                <w:rFonts w:cstheme="minorHAnsi"/>
              </w:rPr>
            </w:pPr>
            <w:r w:rsidRPr="006C7773">
              <w:rPr>
                <w:rFonts w:cstheme="minorHAnsi"/>
              </w:rPr>
              <w:t xml:space="preserve">(2) An interested person, for a </w:t>
            </w:r>
            <w:r>
              <w:rPr>
                <w:rFonts w:cstheme="minorHAnsi"/>
              </w:rPr>
              <w:t>r</w:t>
            </w:r>
            <w:r w:rsidRPr="006C7773">
              <w:rPr>
                <w:rFonts w:cstheme="minorHAnsi"/>
              </w:rPr>
              <w:t>eviewable decision, is a person specified in Schedule 2 for the decision.</w:t>
            </w:r>
          </w:p>
          <w:p w14:paraId="28DB3ECC" w14:textId="0F1F6751" w:rsidR="00472715" w:rsidRDefault="00472715" w:rsidP="00472715">
            <w:pPr>
              <w:spacing w:before="120"/>
              <w:rPr>
                <w:rFonts w:cstheme="minorHAnsi"/>
              </w:rPr>
            </w:pPr>
            <w:r w:rsidRPr="006C7773">
              <w:rPr>
                <w:rFonts w:cstheme="minorHAnsi"/>
              </w:rPr>
              <w:lastRenderedPageBreak/>
              <w:t>(3) An interested person for a reviewable decision may apply to the Tribunal for review of the reviewable decision.</w:t>
            </w:r>
          </w:p>
          <w:p w14:paraId="18D1FC38" w14:textId="6F479991" w:rsidR="00472715" w:rsidRDefault="00472715" w:rsidP="00472715">
            <w:pPr>
              <w:spacing w:before="120"/>
              <w:rPr>
                <w:rFonts w:cstheme="minorHAnsi"/>
              </w:rPr>
            </w:pPr>
            <w:r w:rsidRPr="006C7773">
              <w:rPr>
                <w:rFonts w:cstheme="minorHAnsi"/>
              </w:rPr>
              <w:t>Note for subregulation (3)</w:t>
            </w:r>
          </w:p>
          <w:p w14:paraId="41F01BE1" w14:textId="7253E0F9" w:rsidR="00472715" w:rsidRDefault="00472715" w:rsidP="00472715">
            <w:pPr>
              <w:spacing w:before="120"/>
              <w:rPr>
                <w:rFonts w:cstheme="minorHAnsi"/>
              </w:rPr>
            </w:pPr>
            <w:r w:rsidRPr="006C7773">
              <w:rPr>
                <w:rFonts w:cstheme="minorHAnsi"/>
              </w:rPr>
              <w:t xml:space="preserve">The Northern Territory Civil and </w:t>
            </w:r>
            <w:r>
              <w:rPr>
                <w:rFonts w:cstheme="minorHAnsi"/>
              </w:rPr>
              <w:t>A</w:t>
            </w:r>
            <w:r w:rsidRPr="006C7773">
              <w:rPr>
                <w:rFonts w:cstheme="minorHAnsi"/>
              </w:rPr>
              <w:t>dministrative Tribunal Act 2014 sets out the procedure for applying to the Tribunal for</w:t>
            </w:r>
            <w:r>
              <w:rPr>
                <w:rFonts w:cstheme="minorHAnsi"/>
              </w:rPr>
              <w:t xml:space="preserve"> </w:t>
            </w:r>
            <w:r w:rsidRPr="006C7773">
              <w:rPr>
                <w:rFonts w:cstheme="minorHAnsi"/>
              </w:rPr>
              <w:t>review and other relevant matters in relation to reviews.</w:t>
            </w:r>
          </w:p>
          <w:p w14:paraId="7FB700CF" w14:textId="217D88C6" w:rsidR="00472715" w:rsidRDefault="00472715" w:rsidP="00472715">
            <w:pPr>
              <w:spacing w:before="120"/>
              <w:rPr>
                <w:rFonts w:cstheme="minorHAnsi"/>
              </w:rPr>
            </w:pPr>
            <w:r w:rsidRPr="000A0EE2">
              <w:rPr>
                <w:rFonts w:cstheme="minorHAnsi"/>
                <w:b/>
                <w:bCs/>
              </w:rPr>
              <w:t>Schedule 2</w:t>
            </w:r>
            <w:r>
              <w:rPr>
                <w:rFonts w:cstheme="minorHAnsi"/>
              </w:rPr>
              <w:t xml:space="preserve"> lists out categories of “interested persons” who can seek merits review for each type of decision. Below are “interested persons” who can challenge an EMP approval</w:t>
            </w:r>
            <w:r w:rsidR="00DB2AC2">
              <w:rPr>
                <w:rFonts w:cstheme="minorHAnsi"/>
              </w:rPr>
              <w:t xml:space="preserve"> </w:t>
            </w:r>
            <w:r w:rsidR="00DB2AC2" w:rsidRPr="00DB2AC2">
              <w:rPr>
                <w:rFonts w:cstheme="minorHAnsi"/>
              </w:rPr>
              <w:t>under regulation 11(2)(a) or (3)(a)</w:t>
            </w:r>
            <w:r>
              <w:rPr>
                <w:rFonts w:cstheme="minorHAnsi"/>
              </w:rPr>
              <w:t>:</w:t>
            </w:r>
          </w:p>
          <w:p w14:paraId="396812ED" w14:textId="77777777" w:rsidR="00472715" w:rsidRPr="00E6123A" w:rsidRDefault="00472715" w:rsidP="00472715">
            <w:pPr>
              <w:pStyle w:val="ListParagraph"/>
              <w:numPr>
                <w:ilvl w:val="0"/>
                <w:numId w:val="19"/>
              </w:numPr>
              <w:spacing w:before="120"/>
              <w:rPr>
                <w:rFonts w:cstheme="minorHAnsi"/>
                <w:lang w:val="en-US"/>
              </w:rPr>
            </w:pPr>
            <w:r w:rsidRPr="00E6123A">
              <w:rPr>
                <w:rFonts w:cstheme="minorHAnsi"/>
                <w:lang w:val="en-US"/>
              </w:rPr>
              <w:t>A person directly affected by the decision</w:t>
            </w:r>
          </w:p>
          <w:p w14:paraId="1ECEEF9F" w14:textId="77777777" w:rsidR="00472715" w:rsidRPr="00E6123A" w:rsidRDefault="00472715" w:rsidP="00472715">
            <w:pPr>
              <w:pStyle w:val="ListParagraph"/>
              <w:numPr>
                <w:ilvl w:val="0"/>
                <w:numId w:val="19"/>
              </w:numPr>
              <w:spacing w:before="120"/>
              <w:rPr>
                <w:rFonts w:cstheme="minorHAnsi"/>
                <w:lang w:val="en-US"/>
              </w:rPr>
            </w:pPr>
            <w:r w:rsidRPr="00E6123A">
              <w:rPr>
                <w:rFonts w:cstheme="minorHAnsi"/>
                <w:lang w:val="en-US"/>
              </w:rPr>
              <w:t>The Land Council for the area in relation to which the plan applies</w:t>
            </w:r>
          </w:p>
          <w:p w14:paraId="3499E943" w14:textId="77777777" w:rsidR="00472715" w:rsidRPr="00E6123A" w:rsidRDefault="00472715" w:rsidP="00472715">
            <w:pPr>
              <w:pStyle w:val="ListParagraph"/>
              <w:numPr>
                <w:ilvl w:val="0"/>
                <w:numId w:val="19"/>
              </w:numPr>
              <w:spacing w:before="120"/>
              <w:rPr>
                <w:rFonts w:cstheme="minorHAnsi"/>
                <w:lang w:val="en-US"/>
              </w:rPr>
            </w:pPr>
            <w:r w:rsidRPr="00E6123A">
              <w:rPr>
                <w:rFonts w:cstheme="minorHAnsi"/>
                <w:lang w:val="en-US"/>
              </w:rPr>
              <w:t>A registered native title body corporate in relation to any part of the area to which the plan applies</w:t>
            </w:r>
          </w:p>
          <w:p w14:paraId="26603C57" w14:textId="77777777" w:rsidR="00472715" w:rsidRPr="00E6123A" w:rsidRDefault="00472715" w:rsidP="00472715">
            <w:pPr>
              <w:pStyle w:val="ListParagraph"/>
              <w:numPr>
                <w:ilvl w:val="0"/>
                <w:numId w:val="19"/>
              </w:numPr>
              <w:spacing w:before="120"/>
              <w:rPr>
                <w:rFonts w:cstheme="minorHAnsi"/>
                <w:lang w:val="en-US"/>
              </w:rPr>
            </w:pPr>
            <w:r w:rsidRPr="00E6123A">
              <w:rPr>
                <w:rFonts w:cstheme="minorHAnsi"/>
                <w:lang w:val="en-US"/>
              </w:rPr>
              <w:t xml:space="preserve">Any registered native title claimant in relation to any part of the area to which the plan applies. </w:t>
            </w:r>
          </w:p>
          <w:p w14:paraId="5CCF51C3" w14:textId="5EF83321" w:rsidR="0038145E" w:rsidRPr="00A34772" w:rsidRDefault="00472715" w:rsidP="00F91295">
            <w:pPr>
              <w:pStyle w:val="ListParagraph"/>
              <w:numPr>
                <w:ilvl w:val="0"/>
                <w:numId w:val="19"/>
              </w:numPr>
              <w:spacing w:before="120"/>
              <w:rPr>
                <w:rFonts w:cstheme="minorHAnsi"/>
                <w:lang w:val="en-US"/>
              </w:rPr>
            </w:pPr>
            <w:r w:rsidRPr="00E6123A">
              <w:rPr>
                <w:rFonts w:cstheme="minorHAnsi"/>
                <w:lang w:val="en-US"/>
              </w:rPr>
              <w:t>A person who made a genuine and valid submission under regulation 8B, other than an excluded third-party submission</w:t>
            </w:r>
          </w:p>
          <w:p w14:paraId="43BFFC72" w14:textId="5D376F9C" w:rsidR="0038145E" w:rsidRPr="00F91295" w:rsidRDefault="0038145E" w:rsidP="0038145E">
            <w:pPr>
              <w:spacing w:before="120"/>
              <w:rPr>
                <w:rFonts w:cstheme="minorHAnsi"/>
                <w:b/>
                <w:bCs/>
                <w:lang w:val="en-US"/>
              </w:rPr>
            </w:pPr>
            <w:r w:rsidRPr="00F91295">
              <w:rPr>
                <w:rFonts w:cstheme="minorHAnsi"/>
                <w:b/>
                <w:bCs/>
                <w:lang w:val="en-US"/>
              </w:rPr>
              <w:t>Amendment of Petroleum Act 1984</w:t>
            </w:r>
          </w:p>
          <w:p w14:paraId="4DEC8C73" w14:textId="77777777" w:rsidR="0038145E" w:rsidRDefault="0038145E" w:rsidP="0038145E">
            <w:pPr>
              <w:spacing w:before="120"/>
              <w:rPr>
                <w:rFonts w:cstheme="minorHAnsi"/>
                <w:b/>
                <w:bCs/>
                <w:lang w:val="en-US"/>
              </w:rPr>
            </w:pPr>
            <w:r w:rsidRPr="0038145E">
              <w:rPr>
                <w:rFonts w:cstheme="minorHAnsi"/>
                <w:b/>
                <w:bCs/>
                <w:lang w:val="en-US"/>
              </w:rPr>
              <w:t>Schedule 3 Reviewable decisions and interested persons</w:t>
            </w:r>
            <w:r>
              <w:rPr>
                <w:rFonts w:cstheme="minorHAnsi"/>
                <w:b/>
                <w:bCs/>
                <w:lang w:val="en-US"/>
              </w:rPr>
              <w:t xml:space="preserve"> </w:t>
            </w:r>
          </w:p>
          <w:p w14:paraId="2BB5A205" w14:textId="23DFCD19" w:rsidR="0038145E" w:rsidRPr="0038145E" w:rsidRDefault="0038145E" w:rsidP="00F91295">
            <w:pPr>
              <w:spacing w:before="120"/>
              <w:jc w:val="both"/>
              <w:rPr>
                <w:rFonts w:cstheme="minorHAnsi"/>
                <w:lang w:val="en-US"/>
              </w:rPr>
            </w:pPr>
            <w:r>
              <w:rPr>
                <w:rFonts w:cstheme="minorHAnsi"/>
                <w:lang w:val="en-US"/>
              </w:rPr>
              <w:t>[</w:t>
            </w:r>
            <w:r w:rsidR="00024C31" w:rsidRPr="00F91295">
              <w:rPr>
                <w:rFonts w:cstheme="minorHAnsi"/>
                <w:i/>
                <w:iCs/>
                <w:lang w:val="en-US"/>
              </w:rPr>
              <w:t>Lists out reviewable decisions under the Petroleum Act 1984 and the correcting interested persons who can challenge them</w:t>
            </w:r>
            <w:r w:rsidR="00024C31">
              <w:rPr>
                <w:rFonts w:cstheme="minorHAnsi"/>
                <w:lang w:val="en-US"/>
              </w:rPr>
              <w:t>]</w:t>
            </w:r>
          </w:p>
        </w:tc>
        <w:tc>
          <w:tcPr>
            <w:tcW w:w="5310" w:type="dxa"/>
            <w:shd w:val="clear" w:color="auto" w:fill="FFF2CC" w:themeFill="accent4" w:themeFillTint="33"/>
          </w:tcPr>
          <w:p w14:paraId="5AD55EB6" w14:textId="69629874" w:rsidR="00472715" w:rsidRDefault="00472715" w:rsidP="00472715">
            <w:pPr>
              <w:spacing w:before="120"/>
              <w:rPr>
                <w:rFonts w:cstheme="minorHAnsi"/>
              </w:rPr>
            </w:pPr>
            <w:r>
              <w:rPr>
                <w:rFonts w:cstheme="minorHAnsi"/>
              </w:rPr>
              <w:lastRenderedPageBreak/>
              <w:t xml:space="preserve">This recommendation has been partially implemented through the changes made to </w:t>
            </w:r>
            <w:r w:rsidR="009C03E2">
              <w:rPr>
                <w:rFonts w:cstheme="minorHAnsi"/>
              </w:rPr>
              <w:t>the Petroleum (Environment) Regulations 2016</w:t>
            </w:r>
            <w:r>
              <w:rPr>
                <w:rFonts w:cstheme="minorHAnsi"/>
              </w:rPr>
              <w:t xml:space="preserve"> as detailed in the Petroleum Legislation Amendment Bill 2022. </w:t>
            </w:r>
          </w:p>
          <w:p w14:paraId="7A01A36E" w14:textId="72CE58F8" w:rsidR="00F67BDB" w:rsidRDefault="00F67BDB" w:rsidP="00472715">
            <w:pPr>
              <w:spacing w:before="120"/>
              <w:rPr>
                <w:rFonts w:cstheme="minorHAnsi"/>
              </w:rPr>
            </w:pPr>
            <w:r>
              <w:rPr>
                <w:rFonts w:cstheme="minorHAnsi"/>
              </w:rPr>
              <w:t>D</w:t>
            </w:r>
            <w:r w:rsidRPr="00F67BDB">
              <w:rPr>
                <w:rFonts w:cstheme="minorHAnsi"/>
              </w:rPr>
              <w:t xml:space="preserve">espite marking this recommendation as “complete”, the Government has excluded several key decisions from merits review. For example, the list of reviewable decisions in the amended Petroleum Act 1984 notably </w:t>
            </w:r>
            <w:r w:rsidRPr="00F67BDB">
              <w:rPr>
                <w:rFonts w:cstheme="minorHAnsi"/>
              </w:rPr>
              <w:lastRenderedPageBreak/>
              <w:t xml:space="preserve">omits the Minister’s decision to grant a production licence, even though the applicant can challenge a refusal to grant or renew such a licence.  The same is true for approvals of a well operations management plan, a field management plan, or a petroleum surface infrastructure plan under section 61A(2)(a), among other decisions – that is, the Act only lists the Minister’s decision not to approve such plans as reviewable decisions.  </w:t>
            </w:r>
          </w:p>
          <w:p w14:paraId="02E24877" w14:textId="71381614" w:rsidR="00183FC6" w:rsidRDefault="003C4AC6" w:rsidP="00472715">
            <w:pPr>
              <w:spacing w:before="120"/>
              <w:rPr>
                <w:rFonts w:cstheme="minorHAnsi"/>
              </w:rPr>
            </w:pPr>
            <w:r>
              <w:rPr>
                <w:rFonts w:cstheme="minorHAnsi"/>
              </w:rPr>
              <w:t>Moreover, a</w:t>
            </w:r>
            <w:r w:rsidR="00472715">
              <w:rPr>
                <w:rFonts w:cstheme="minorHAnsi"/>
              </w:rPr>
              <w:t xml:space="preserve">lthough several of the third parties listed in the recommendation have been included as “interested persons,” notable categories are not identified under Schedule 2: 1) persons who are indirectly affected by the decision, 2) members of an organised environmental community or industry group, and 3) local government bodies. Some of the categories included are qualified – e.g., only registered native title body corporates and claimants </w:t>
            </w:r>
            <w:r w:rsidR="00472715">
              <w:rPr>
                <w:rFonts w:cstheme="minorHAnsi"/>
                <w:i/>
                <w:iCs/>
              </w:rPr>
              <w:t>in relation to any part of the area to which the plan applies</w:t>
            </w:r>
            <w:r w:rsidR="00472715">
              <w:rPr>
                <w:rFonts w:cstheme="minorHAnsi"/>
              </w:rPr>
              <w:t xml:space="preserve"> can seek merits review. This kind of qualification was not noted in the Pepper Report and significantly limits the registered native title body corporates and claimants that can challenge EMP approval decisions. </w:t>
            </w:r>
          </w:p>
          <w:p w14:paraId="6BC17AE2" w14:textId="243805A6" w:rsidR="00183FC6" w:rsidRDefault="00183FC6" w:rsidP="00472715">
            <w:pPr>
              <w:spacing w:before="120"/>
              <w:rPr>
                <w:rFonts w:cstheme="minorHAnsi"/>
              </w:rPr>
            </w:pPr>
            <w:r>
              <w:rPr>
                <w:rFonts w:cstheme="minorHAnsi"/>
              </w:rPr>
              <w:t xml:space="preserve">However, because anyone who made a genuine and valid </w:t>
            </w:r>
            <w:r w:rsidR="00CC27AF">
              <w:rPr>
                <w:rFonts w:cstheme="minorHAnsi"/>
              </w:rPr>
              <w:t xml:space="preserve">submission during the public comment period </w:t>
            </w:r>
            <w:r w:rsidR="00407F97">
              <w:rPr>
                <w:rFonts w:cstheme="minorHAnsi"/>
              </w:rPr>
              <w:t>(regulation 8B) can seek merits review, these qualifications may not, in practice, bar the third parties identified in the Pepper Report from filing suit</w:t>
            </w:r>
            <w:r w:rsidR="006D55D4">
              <w:rPr>
                <w:rFonts w:cstheme="minorHAnsi"/>
              </w:rPr>
              <w:t xml:space="preserve"> assuming, of course, they were properly notified of the opportunity to submit public comments.</w:t>
            </w:r>
          </w:p>
          <w:p w14:paraId="5619BD2C" w14:textId="70BF63AD" w:rsidR="00276AD2" w:rsidRPr="00167CE3" w:rsidRDefault="00E14C12" w:rsidP="00472715">
            <w:pPr>
              <w:spacing w:before="120"/>
              <w:rPr>
                <w:rFonts w:cstheme="minorHAnsi"/>
                <w:lang w:val="en-US"/>
              </w:rPr>
            </w:pPr>
            <w:r>
              <w:rPr>
                <w:rFonts w:cstheme="minorHAnsi"/>
              </w:rPr>
              <w:t xml:space="preserve">It is interesting to note that the “interested persons” list for EMPs approved under regulation 11(2)(a) or (3)(a) </w:t>
            </w:r>
            <w:r w:rsidR="00167CE3">
              <w:rPr>
                <w:rFonts w:cstheme="minorHAnsi"/>
              </w:rPr>
              <w:t>is more expansive than the “interested persons” who can seek merits review of “</w:t>
            </w:r>
            <w:r w:rsidR="00167CE3" w:rsidRPr="009D40AE">
              <w:rPr>
                <w:rFonts w:cstheme="minorHAnsi"/>
                <w:i/>
                <w:iCs/>
              </w:rPr>
              <w:t>a decision of the Minister to approve an environment management plan subject to conditions</w:t>
            </w:r>
            <w:r w:rsidR="00F86EF8">
              <w:rPr>
                <w:rFonts w:cstheme="minorHAnsi"/>
              </w:rPr>
              <w:t>.</w:t>
            </w:r>
            <w:r w:rsidR="00167CE3">
              <w:rPr>
                <w:rFonts w:cstheme="minorHAnsi"/>
              </w:rPr>
              <w:t>”</w:t>
            </w:r>
            <w:r w:rsidR="00F86EF8">
              <w:rPr>
                <w:rFonts w:cstheme="minorHAnsi"/>
              </w:rPr>
              <w:t xml:space="preserve"> For the latter, only the interest holder who submitted the plan for approval can seek merits review.</w:t>
            </w:r>
            <w:r w:rsidR="00B56FEA">
              <w:rPr>
                <w:rFonts w:cstheme="minorHAnsi"/>
              </w:rPr>
              <w:t xml:space="preserve"> Given that regulation 11(2)(a) states that the Minister can approve the plan “with our without conditions,” it is unclear </w:t>
            </w:r>
            <w:r w:rsidR="00020047">
              <w:rPr>
                <w:rFonts w:cstheme="minorHAnsi"/>
              </w:rPr>
              <w:t>what kinds of decisions would fit into the latter category.</w:t>
            </w:r>
            <w:r w:rsidR="00167CE3">
              <w:rPr>
                <w:rFonts w:cstheme="minorHAnsi"/>
              </w:rPr>
              <w:t xml:space="preserve"> </w:t>
            </w:r>
          </w:p>
          <w:p w14:paraId="72155C5A" w14:textId="42190D23" w:rsidR="00472715" w:rsidRPr="00520C23" w:rsidRDefault="00472715" w:rsidP="00472715">
            <w:pPr>
              <w:spacing w:before="120"/>
              <w:rPr>
                <w:rFonts w:cstheme="minorHAnsi"/>
              </w:rPr>
            </w:pPr>
          </w:p>
        </w:tc>
      </w:tr>
      <w:tr w:rsidR="00EA3C33" w:rsidRPr="00520C23" w14:paraId="4867434A" w14:textId="77777777" w:rsidTr="00EA3C33">
        <w:tc>
          <w:tcPr>
            <w:tcW w:w="846" w:type="dxa"/>
            <w:shd w:val="clear" w:color="auto" w:fill="auto"/>
          </w:tcPr>
          <w:p w14:paraId="7B5D5E81" w14:textId="1BC8FBD3" w:rsidR="00472715" w:rsidRDefault="00472715" w:rsidP="00472715">
            <w:pPr>
              <w:spacing w:before="120"/>
              <w:jc w:val="center"/>
              <w:rPr>
                <w:rFonts w:cstheme="minorHAnsi"/>
              </w:rPr>
            </w:pPr>
            <w:r>
              <w:rPr>
                <w:rFonts w:cstheme="minorHAnsi"/>
              </w:rPr>
              <w:lastRenderedPageBreak/>
              <w:t>14.25</w:t>
            </w:r>
          </w:p>
        </w:tc>
        <w:tc>
          <w:tcPr>
            <w:tcW w:w="4819" w:type="dxa"/>
            <w:shd w:val="clear" w:color="auto" w:fill="auto"/>
          </w:tcPr>
          <w:p w14:paraId="47FF6B55" w14:textId="0A5C89B4" w:rsidR="00472715" w:rsidRPr="00F86A86" w:rsidRDefault="00472715" w:rsidP="00472715">
            <w:pPr>
              <w:spacing w:before="120"/>
              <w:rPr>
                <w:rFonts w:cstheme="minorHAnsi"/>
                <w:i/>
                <w:iCs/>
                <w:lang w:val="en-US"/>
              </w:rPr>
            </w:pPr>
            <w:r w:rsidRPr="005132B3">
              <w:rPr>
                <w:rFonts w:cstheme="minorHAnsi"/>
                <w:i/>
                <w:iCs/>
              </w:rPr>
              <w:t>That prior to any further production approvals being granted, where litigation is brought genuinely in the public interest, costs rules be amended to allow NT courts to not make an order for the payment of costs against an unsuccessful public interest litigant.</w:t>
            </w:r>
          </w:p>
        </w:tc>
        <w:tc>
          <w:tcPr>
            <w:tcW w:w="5760" w:type="dxa"/>
            <w:shd w:val="clear" w:color="auto" w:fill="auto"/>
          </w:tcPr>
          <w:p w14:paraId="04214E20" w14:textId="3248DA7A" w:rsidR="00472715" w:rsidRPr="005132B3" w:rsidRDefault="00472715" w:rsidP="00472715">
            <w:pPr>
              <w:spacing w:before="120"/>
              <w:rPr>
                <w:rFonts w:ascii="Calibri" w:eastAsia="Calibri" w:hAnsi="Calibri" w:cs="Calibri"/>
                <w:color w:val="313131"/>
                <w:lang w:val="en-US"/>
              </w:rPr>
            </w:pPr>
            <w:r w:rsidRPr="005132B3">
              <w:rPr>
                <w:rFonts w:ascii="Calibri" w:eastAsia="Calibri" w:hAnsi="Calibri" w:cs="Calibri"/>
                <w:color w:val="313131"/>
                <w:lang w:val="en-US"/>
              </w:rPr>
              <w:t xml:space="preserve">The </w:t>
            </w:r>
            <w:hyperlink r:id="rId98" w:history="1">
              <w:r w:rsidRPr="005132B3">
                <w:rPr>
                  <w:rStyle w:val="Hyperlink"/>
                  <w:rFonts w:ascii="Calibri" w:eastAsia="Calibri" w:hAnsi="Calibri" w:cs="Calibri"/>
                  <w:lang w:val="en-US"/>
                </w:rPr>
                <w:t>Petroleum Legislation Amendment Bill 2022</w:t>
              </w:r>
            </w:hyperlink>
            <w:r w:rsidRPr="005132B3">
              <w:rPr>
                <w:rFonts w:ascii="Calibri" w:eastAsia="Calibri" w:hAnsi="Calibri" w:cs="Calibri"/>
                <w:color w:val="313131"/>
                <w:lang w:val="en-US"/>
              </w:rPr>
              <w:t xml:space="preserve"> was introduced in the Legislative Assembly on 12 October 2022, passed on 1 December 2022 and assented to on 16 December 2022. Refer to </w:t>
            </w:r>
            <w:hyperlink r:id="rId99" w:history="1">
              <w:r w:rsidRPr="005132B3">
                <w:rPr>
                  <w:rStyle w:val="Hyperlink"/>
                  <w:rFonts w:ascii="Calibri" w:eastAsia="Calibri" w:hAnsi="Calibri" w:cs="Calibri"/>
                  <w:lang w:val="en-US"/>
                </w:rPr>
                <w:t>Special Gazette S64 PDF (182.5 KB)</w:t>
              </w:r>
            </w:hyperlink>
            <w:r w:rsidRPr="005132B3">
              <w:rPr>
                <w:rFonts w:ascii="Calibri" w:eastAsia="Calibri" w:hAnsi="Calibri" w:cs="Calibri"/>
                <w:color w:val="313131"/>
                <w:lang w:val="en-US"/>
              </w:rPr>
              <w:t> published on 19 December 2022.</w:t>
            </w:r>
          </w:p>
          <w:p w14:paraId="0CBED4CE" w14:textId="77777777" w:rsidR="00472715" w:rsidRPr="005132B3" w:rsidRDefault="00472715" w:rsidP="00472715">
            <w:pPr>
              <w:spacing w:before="120"/>
              <w:rPr>
                <w:rFonts w:ascii="Calibri" w:eastAsia="Calibri" w:hAnsi="Calibri" w:cs="Calibri"/>
                <w:color w:val="313131"/>
                <w:lang w:val="en-US"/>
              </w:rPr>
            </w:pPr>
            <w:r w:rsidRPr="005132B3">
              <w:rPr>
                <w:rFonts w:ascii="Calibri" w:eastAsia="Calibri" w:hAnsi="Calibri" w:cs="Calibri"/>
                <w:color w:val="313131"/>
                <w:lang w:val="en-US"/>
              </w:rPr>
              <w:t>Amendments to the </w:t>
            </w:r>
            <w:r w:rsidRPr="005132B3">
              <w:rPr>
                <w:rFonts w:ascii="Calibri" w:eastAsia="Calibri" w:hAnsi="Calibri" w:cs="Calibri"/>
                <w:i/>
                <w:iCs/>
                <w:color w:val="313131"/>
                <w:lang w:val="en-US"/>
              </w:rPr>
              <w:t>Petroleum Act 1984 </w:t>
            </w:r>
            <w:r w:rsidRPr="005132B3">
              <w:rPr>
                <w:rFonts w:ascii="Calibri" w:eastAsia="Calibri" w:hAnsi="Calibri" w:cs="Calibri"/>
                <w:color w:val="313131"/>
                <w:lang w:val="en-US"/>
              </w:rPr>
              <w:t xml:space="preserve">will give Northern Territory Courts and Tribunals the discretion, not to make an </w:t>
            </w:r>
            <w:r w:rsidRPr="005132B3">
              <w:rPr>
                <w:rFonts w:ascii="Calibri" w:eastAsia="Calibri" w:hAnsi="Calibri" w:cs="Calibri"/>
                <w:color w:val="313131"/>
                <w:lang w:val="en-US"/>
              </w:rPr>
              <w:lastRenderedPageBreak/>
              <w:t>order for payment of costs against an unsuccessful public interest litigant.</w:t>
            </w:r>
          </w:p>
          <w:p w14:paraId="0FF698A3" w14:textId="77777777" w:rsidR="00472715" w:rsidRPr="005132B3" w:rsidRDefault="00472715" w:rsidP="00472715">
            <w:pPr>
              <w:spacing w:before="120"/>
              <w:rPr>
                <w:rFonts w:ascii="Calibri" w:eastAsia="Calibri" w:hAnsi="Calibri" w:cs="Calibri"/>
                <w:color w:val="313131"/>
                <w:lang w:val="en-US"/>
              </w:rPr>
            </w:pPr>
            <w:r w:rsidRPr="005132B3">
              <w:rPr>
                <w:rFonts w:ascii="Calibri" w:eastAsia="Calibri" w:hAnsi="Calibri" w:cs="Calibri"/>
                <w:color w:val="313131"/>
                <w:lang w:val="en-US"/>
              </w:rPr>
              <w:t>This means third parties who challenge administrative decisions in a manner that is genuinely in the public interest, may no longer have to pay the costs of the other party if they are unsuccessful. A matter of genuine interest would not include a vexatious matter.</w:t>
            </w:r>
          </w:p>
          <w:p w14:paraId="2CC56815" w14:textId="77777777" w:rsidR="00472715" w:rsidRPr="00F86A86" w:rsidRDefault="00472715" w:rsidP="00472715">
            <w:pPr>
              <w:spacing w:before="120"/>
              <w:rPr>
                <w:rFonts w:ascii="Calibri" w:eastAsia="Calibri" w:hAnsi="Calibri" w:cs="Calibri"/>
                <w:color w:val="313131"/>
                <w:lang w:val="en-US"/>
              </w:rPr>
            </w:pPr>
          </w:p>
        </w:tc>
        <w:tc>
          <w:tcPr>
            <w:tcW w:w="5670" w:type="dxa"/>
            <w:shd w:val="clear" w:color="auto" w:fill="auto"/>
          </w:tcPr>
          <w:p w14:paraId="5B90C46E" w14:textId="3B6897E4" w:rsidR="00472715" w:rsidRDefault="0090227B" w:rsidP="00472715">
            <w:pPr>
              <w:spacing w:before="120"/>
              <w:rPr>
                <w:rFonts w:cstheme="minorHAnsi"/>
                <w:b/>
                <w:bCs/>
              </w:rPr>
            </w:pPr>
            <w:r>
              <w:rPr>
                <w:rFonts w:cstheme="minorHAnsi"/>
                <w:b/>
                <w:bCs/>
              </w:rPr>
              <w:lastRenderedPageBreak/>
              <w:t>Amendment of Petroleum Act 1984</w:t>
            </w:r>
          </w:p>
          <w:p w14:paraId="54172011" w14:textId="6F0CDD40" w:rsidR="00472715" w:rsidRPr="00FE5667" w:rsidRDefault="00472715" w:rsidP="00472715">
            <w:pPr>
              <w:spacing w:before="120"/>
              <w:rPr>
                <w:rFonts w:cstheme="minorHAnsi"/>
                <w:b/>
                <w:bCs/>
              </w:rPr>
            </w:pPr>
            <w:r w:rsidRPr="00FE5667">
              <w:rPr>
                <w:rFonts w:cstheme="minorHAnsi"/>
                <w:b/>
                <w:bCs/>
              </w:rPr>
              <w:t>117ABK   Orders as to costs</w:t>
            </w:r>
          </w:p>
          <w:p w14:paraId="6E080345" w14:textId="3F44748A" w:rsidR="00472715" w:rsidRDefault="00472715" w:rsidP="00472715">
            <w:pPr>
              <w:spacing w:before="120"/>
              <w:rPr>
                <w:rFonts w:cstheme="minorHAnsi"/>
              </w:rPr>
            </w:pPr>
            <w:r w:rsidRPr="00FE5667">
              <w:rPr>
                <w:rFonts w:cstheme="minorHAnsi"/>
              </w:rPr>
              <w:t>Subject to section 117D, in any proceeding under this Division, the Supreme Court may make any order as to costs  that it considers just and reasonable.</w:t>
            </w:r>
          </w:p>
          <w:p w14:paraId="15CECB9C" w14:textId="77777777" w:rsidR="00472715" w:rsidRPr="00F6350B" w:rsidRDefault="00472715" w:rsidP="00472715">
            <w:pPr>
              <w:spacing w:before="120"/>
              <w:rPr>
                <w:rFonts w:cstheme="minorHAnsi"/>
                <w:b/>
                <w:bCs/>
              </w:rPr>
            </w:pPr>
            <w:r w:rsidRPr="00F6350B">
              <w:rPr>
                <w:rFonts w:cstheme="minorHAnsi"/>
                <w:b/>
                <w:bCs/>
              </w:rPr>
              <w:t>117ABZF Orders as to costs</w:t>
            </w:r>
          </w:p>
          <w:p w14:paraId="2A9BB7AC" w14:textId="77777777" w:rsidR="00472715" w:rsidRDefault="00472715" w:rsidP="00472715">
            <w:pPr>
              <w:spacing w:before="120"/>
              <w:rPr>
                <w:rFonts w:cstheme="minorHAnsi"/>
              </w:rPr>
            </w:pPr>
            <w:r w:rsidRPr="00D0311D">
              <w:rPr>
                <w:rFonts w:cstheme="minorHAnsi"/>
              </w:rPr>
              <w:lastRenderedPageBreak/>
              <w:t>In a proceeding under this Division, the Local Court may make any order as to costs that it considers just and reasonable, including an order requiring the reimbursement of the costs and expenses incurred by the CEO or the</w:t>
            </w:r>
            <w:r>
              <w:rPr>
                <w:rFonts w:cstheme="minorHAnsi"/>
              </w:rPr>
              <w:t xml:space="preserve"> </w:t>
            </w:r>
            <w:r w:rsidRPr="00D0311D">
              <w:rPr>
                <w:rFonts w:cstheme="minorHAnsi"/>
              </w:rPr>
              <w:t>Environment CEO in investigating the alleged offence.</w:t>
            </w:r>
          </w:p>
          <w:p w14:paraId="5CA4F6BC" w14:textId="77777777" w:rsidR="00472715" w:rsidRDefault="00472715" w:rsidP="00472715">
            <w:pPr>
              <w:spacing w:before="120"/>
              <w:rPr>
                <w:rFonts w:cstheme="minorHAnsi"/>
                <w:b/>
                <w:bCs/>
              </w:rPr>
            </w:pPr>
            <w:r w:rsidRPr="00571F33">
              <w:rPr>
                <w:rFonts w:cstheme="minorHAnsi"/>
                <w:b/>
                <w:bCs/>
              </w:rPr>
              <w:t>117D Costs, undertakings and security for cost</w:t>
            </w:r>
          </w:p>
          <w:p w14:paraId="239932D0" w14:textId="5A6536CA" w:rsidR="00472715" w:rsidRDefault="00472715" w:rsidP="00472715">
            <w:pPr>
              <w:spacing w:before="120"/>
              <w:rPr>
                <w:rFonts w:cstheme="minorHAnsi"/>
              </w:rPr>
            </w:pPr>
            <w:r w:rsidRPr="00172681">
              <w:rPr>
                <w:rFonts w:cstheme="minorHAnsi"/>
              </w:rPr>
              <w:t>(2) Without limiting any other discretion, a court or the Tribunal may, in any proceedings where</w:t>
            </w:r>
            <w:r>
              <w:rPr>
                <w:rFonts w:cstheme="minorHAnsi"/>
              </w:rPr>
              <w:t xml:space="preserve"> []</w:t>
            </w:r>
            <w:r w:rsidRPr="00172681">
              <w:rPr>
                <w:rFonts w:cstheme="minorHAnsi"/>
              </w:rPr>
              <w:t xml:space="preserve"> it considers a party to be acting in the public interest, determine not to do one or more of the following:</w:t>
            </w:r>
          </w:p>
          <w:p w14:paraId="711C0908" w14:textId="77777777" w:rsidR="00472715" w:rsidRDefault="00472715" w:rsidP="00472715">
            <w:pPr>
              <w:spacing w:before="120"/>
              <w:ind w:left="342"/>
              <w:rPr>
                <w:rFonts w:cstheme="minorHAnsi"/>
              </w:rPr>
            </w:pPr>
            <w:r w:rsidRPr="00172681">
              <w:rPr>
                <w:rFonts w:cstheme="minorHAnsi"/>
              </w:rPr>
              <w:t>(a) require security for the payment costs;</w:t>
            </w:r>
          </w:p>
          <w:p w14:paraId="402F3BC8" w14:textId="364D078C" w:rsidR="00472715" w:rsidRDefault="00472715" w:rsidP="00472715">
            <w:pPr>
              <w:spacing w:before="120"/>
              <w:ind w:left="342"/>
              <w:rPr>
                <w:rFonts w:cstheme="minorHAnsi"/>
              </w:rPr>
            </w:pPr>
            <w:r w:rsidRPr="00172681">
              <w:rPr>
                <w:rFonts w:cstheme="minorHAnsi"/>
              </w:rPr>
              <w:t>(b) require an undertaking as to the payment of any amount that may be awarded as damages or</w:t>
            </w:r>
            <w:r>
              <w:rPr>
                <w:rFonts w:cstheme="minorHAnsi"/>
              </w:rPr>
              <w:t xml:space="preserve"> </w:t>
            </w:r>
            <w:r w:rsidRPr="00172681">
              <w:rPr>
                <w:rFonts w:cstheme="minorHAnsi"/>
              </w:rPr>
              <w:t>compensation;</w:t>
            </w:r>
          </w:p>
          <w:p w14:paraId="74B951C0" w14:textId="4042857B" w:rsidR="00472715" w:rsidRDefault="00472715" w:rsidP="00472715">
            <w:pPr>
              <w:spacing w:before="120"/>
              <w:ind w:left="342"/>
              <w:rPr>
                <w:rFonts w:cstheme="minorHAnsi"/>
              </w:rPr>
            </w:pPr>
            <w:r w:rsidRPr="00172681">
              <w:rPr>
                <w:rFonts w:cstheme="minorHAnsi"/>
              </w:rPr>
              <w:t>(c)</w:t>
            </w:r>
            <w:r>
              <w:rPr>
                <w:rFonts w:cstheme="minorHAnsi"/>
              </w:rPr>
              <w:t xml:space="preserve"> </w:t>
            </w:r>
            <w:r w:rsidRPr="00172681">
              <w:rPr>
                <w:rFonts w:cstheme="minorHAnsi"/>
              </w:rPr>
              <w:t>require the payment of costs.</w:t>
            </w:r>
          </w:p>
          <w:p w14:paraId="2C36BD0E" w14:textId="6760F669" w:rsidR="00472715" w:rsidRPr="00172681" w:rsidRDefault="00472715" w:rsidP="00472715">
            <w:pPr>
              <w:spacing w:before="120"/>
              <w:rPr>
                <w:rFonts w:cstheme="minorHAnsi"/>
              </w:rPr>
            </w:pPr>
            <w:r w:rsidRPr="00172681">
              <w:rPr>
                <w:rFonts w:cstheme="minorHAnsi"/>
              </w:rPr>
              <w:t>(3) This section does not apply in relation to criminal proceedings.</w:t>
            </w:r>
          </w:p>
        </w:tc>
        <w:tc>
          <w:tcPr>
            <w:tcW w:w="5310" w:type="dxa"/>
            <w:shd w:val="clear" w:color="auto" w:fill="E2EFD9" w:themeFill="accent6" w:themeFillTint="33"/>
          </w:tcPr>
          <w:p w14:paraId="4AFF8A3E" w14:textId="6E1793F7" w:rsidR="00472715" w:rsidRPr="00520C23" w:rsidRDefault="00472715" w:rsidP="00472715">
            <w:pPr>
              <w:spacing w:before="120"/>
              <w:rPr>
                <w:rFonts w:cstheme="minorHAnsi"/>
              </w:rPr>
            </w:pPr>
            <w:r>
              <w:rPr>
                <w:rFonts w:cstheme="minorHAnsi"/>
              </w:rPr>
              <w:lastRenderedPageBreak/>
              <w:t>This recommendation has been fully implemented.</w:t>
            </w:r>
          </w:p>
        </w:tc>
      </w:tr>
      <w:tr w:rsidR="00EA3C33" w:rsidRPr="00520C23" w14:paraId="392EECEB" w14:textId="1D82DD39" w:rsidTr="00EA3C33">
        <w:tc>
          <w:tcPr>
            <w:tcW w:w="846" w:type="dxa"/>
            <w:shd w:val="clear" w:color="auto" w:fill="auto"/>
          </w:tcPr>
          <w:p w14:paraId="5DE90102" w14:textId="77777777" w:rsidR="00472715" w:rsidRPr="00520C23" w:rsidRDefault="00472715" w:rsidP="00472715">
            <w:pPr>
              <w:spacing w:before="120"/>
              <w:jc w:val="center"/>
              <w:rPr>
                <w:rFonts w:cstheme="minorHAnsi"/>
              </w:rPr>
            </w:pPr>
            <w:r w:rsidRPr="00520C23">
              <w:rPr>
                <w:rFonts w:cstheme="minorHAnsi"/>
              </w:rPr>
              <w:t>14.26</w:t>
            </w:r>
          </w:p>
        </w:tc>
        <w:tc>
          <w:tcPr>
            <w:tcW w:w="4819" w:type="dxa"/>
            <w:shd w:val="clear" w:color="auto" w:fill="auto"/>
          </w:tcPr>
          <w:p w14:paraId="7D97874F" w14:textId="1F44F675"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the Government develops and implements a robust and transparent compliance and monitoring strategy, having regard to the principles set out in the ANAO Administering Regulation: Achieving the right balance guide, and the policy in SA. </w:t>
            </w:r>
          </w:p>
        </w:tc>
        <w:tc>
          <w:tcPr>
            <w:tcW w:w="5760" w:type="dxa"/>
            <w:shd w:val="clear" w:color="auto" w:fill="auto"/>
          </w:tcPr>
          <w:p w14:paraId="471F5C5D" w14:textId="14E5C976" w:rsidR="00472715" w:rsidRPr="00520C23" w:rsidRDefault="00472715" w:rsidP="00472715">
            <w:pPr>
              <w:spacing w:before="120"/>
            </w:pPr>
            <w:r w:rsidRPr="00520C23">
              <w:t>The Departments of Primary Industry and Resources and Environment, Parks and Water Security published a Monitoring and Compliance Strategy in July 2019, which is publicly available on the </w:t>
            </w:r>
            <w:hyperlink r:id="rId100" w:history="1">
              <w:r w:rsidRPr="00520C23">
                <w:rPr>
                  <w:rStyle w:val="Hyperlink"/>
                </w:rPr>
                <w:t>DEPWS website</w:t>
              </w:r>
            </w:hyperlink>
            <w:r w:rsidRPr="00520C23">
              <w:t>.</w:t>
            </w:r>
          </w:p>
        </w:tc>
        <w:tc>
          <w:tcPr>
            <w:tcW w:w="5670" w:type="dxa"/>
            <w:shd w:val="clear" w:color="auto" w:fill="auto"/>
          </w:tcPr>
          <w:p w14:paraId="0FD680EB" w14:textId="73CAD376" w:rsidR="00472715" w:rsidRPr="00520C23" w:rsidRDefault="00472715" w:rsidP="00472715">
            <w:pPr>
              <w:spacing w:before="120"/>
              <w:rPr>
                <w:rFonts w:cstheme="minorHAnsi"/>
              </w:rPr>
            </w:pPr>
            <w:r w:rsidRPr="00520C23">
              <w:rPr>
                <w:rFonts w:cstheme="minorHAnsi"/>
              </w:rPr>
              <w:t xml:space="preserve">A </w:t>
            </w:r>
            <w:r w:rsidRPr="00520C23">
              <w:rPr>
                <w:rFonts w:cstheme="minorHAnsi"/>
                <w:b/>
              </w:rPr>
              <w:t>Compliance and Monitoring Strategy</w:t>
            </w:r>
            <w:r w:rsidRPr="00520C23">
              <w:rPr>
                <w:rFonts w:cstheme="minorHAnsi"/>
              </w:rPr>
              <w:t xml:space="preserve"> was released in July of 2019: </w:t>
            </w:r>
          </w:p>
          <w:p w14:paraId="675534CF" w14:textId="367ACBD9" w:rsidR="00472715" w:rsidRPr="00520C23" w:rsidRDefault="00F90BAA" w:rsidP="00472715">
            <w:pPr>
              <w:spacing w:before="120"/>
              <w:rPr>
                <w:rFonts w:cstheme="minorHAnsi"/>
              </w:rPr>
            </w:pPr>
            <w:hyperlink r:id="rId101" w:history="1">
              <w:r w:rsidR="00472715" w:rsidRPr="00520C23">
                <w:rPr>
                  <w:rStyle w:val="Hyperlink"/>
                  <w:rFonts w:cstheme="minorHAnsi"/>
                </w:rPr>
                <w:t>https://denr.nt.gov.au/__data/assets/pdf_file/0007/715543/Monitoring-and-compliance-strategy.pdf</w:t>
              </w:r>
            </w:hyperlink>
            <w:r w:rsidR="00472715" w:rsidRPr="00520C23">
              <w:rPr>
                <w:rFonts w:cstheme="minorHAnsi"/>
              </w:rPr>
              <w:t xml:space="preserve">. </w:t>
            </w:r>
          </w:p>
          <w:p w14:paraId="01C4423F" w14:textId="76F3F03E" w:rsidR="00472715" w:rsidRPr="00520C23" w:rsidRDefault="00472715" w:rsidP="00472715">
            <w:pPr>
              <w:spacing w:before="120"/>
              <w:rPr>
                <w:rFonts w:cstheme="minorHAnsi"/>
              </w:rPr>
            </w:pPr>
            <w:r w:rsidRPr="00520C23">
              <w:rPr>
                <w:rFonts w:cstheme="minorHAnsi"/>
              </w:rPr>
              <w:t xml:space="preserve">Its 18 pages lay out principles of monitoring, and it is not actually a monitoring program for the industry, per se. The Strategy promises that the DENR will produce such a program in the future:  </w:t>
            </w:r>
          </w:p>
          <w:p w14:paraId="04FC1391" w14:textId="77777777" w:rsidR="00472715" w:rsidRPr="00520C23" w:rsidRDefault="00472715" w:rsidP="00472715">
            <w:pPr>
              <w:spacing w:before="120"/>
              <w:ind w:left="720"/>
              <w:rPr>
                <w:rFonts w:cstheme="minorHAnsi"/>
                <w:i/>
                <w:iCs/>
              </w:rPr>
            </w:pPr>
            <w:r w:rsidRPr="00520C23">
              <w:rPr>
                <w:rFonts w:cstheme="minorHAnsi"/>
              </w:rPr>
              <w:t>“</w:t>
            </w:r>
            <w:r w:rsidRPr="00520C23">
              <w:rPr>
                <w:rFonts w:cstheme="minorHAnsi"/>
                <w:i/>
                <w:iCs/>
              </w:rPr>
              <w:t xml:space="preserve">The Department of Primary Industry and Resources has committed to 24 onsite regulatory inspections for petroleum activities in 2019-20, as detailed in the Agency’s Key Performance Indicators, within the NT Government’s Budget Paper 3 for 2019-20. </w:t>
            </w:r>
          </w:p>
          <w:p w14:paraId="3648731D" w14:textId="0872A760" w:rsidR="00472715" w:rsidRPr="00520C23" w:rsidRDefault="00472715" w:rsidP="00472715">
            <w:pPr>
              <w:spacing w:before="120"/>
              <w:ind w:left="720"/>
              <w:rPr>
                <w:rFonts w:cstheme="minorHAnsi"/>
                <w:i/>
                <w:iCs/>
              </w:rPr>
            </w:pPr>
            <w:r w:rsidRPr="00520C23">
              <w:rPr>
                <w:rFonts w:cstheme="minorHAnsi"/>
                <w:i/>
                <w:iCs/>
              </w:rPr>
              <w:t xml:space="preserve">The Department of Environment and Natural Resources is presently developing its compliance monitoring program which will be published on its website. This monitoring program will be targeted to the environmental impacts and risks identified in the Environment Management Plans currently being considered for approval. </w:t>
            </w:r>
          </w:p>
          <w:p w14:paraId="6289B22B" w14:textId="77777777" w:rsidR="00472715" w:rsidRPr="00520C23" w:rsidRDefault="00472715" w:rsidP="00472715">
            <w:pPr>
              <w:spacing w:before="120"/>
              <w:ind w:left="720"/>
              <w:rPr>
                <w:rFonts w:cstheme="minorHAnsi"/>
                <w:i/>
                <w:iCs/>
              </w:rPr>
            </w:pPr>
            <w:r w:rsidRPr="00520C23">
              <w:rPr>
                <w:rFonts w:cstheme="minorHAnsi"/>
                <w:i/>
                <w:iCs/>
              </w:rPr>
              <w:t xml:space="preserve">As an indicative guide, the following operational elements are likely to attract monitoring actions, whether it be through reporting, inspections or audits, and dependent on the level of risk. </w:t>
            </w:r>
          </w:p>
          <w:p w14:paraId="7CF2C180" w14:textId="07F64FAD" w:rsidR="00472715" w:rsidRPr="00520C23" w:rsidRDefault="00472715" w:rsidP="00472715">
            <w:pPr>
              <w:pStyle w:val="ListParagraph"/>
              <w:numPr>
                <w:ilvl w:val="0"/>
                <w:numId w:val="3"/>
              </w:numPr>
              <w:spacing w:before="120"/>
              <w:ind w:left="1440"/>
              <w:rPr>
                <w:rFonts w:cstheme="minorHAnsi"/>
                <w:i/>
                <w:iCs/>
              </w:rPr>
            </w:pPr>
            <w:r w:rsidRPr="00520C23">
              <w:rPr>
                <w:rFonts w:cstheme="minorHAnsi"/>
                <w:i/>
                <w:iCs/>
              </w:rPr>
              <w:t xml:space="preserve">Exploration </w:t>
            </w:r>
          </w:p>
          <w:p w14:paraId="6910D304" w14:textId="365F7BBA" w:rsidR="00472715" w:rsidRPr="00520C23" w:rsidRDefault="00472715" w:rsidP="00472715">
            <w:pPr>
              <w:pStyle w:val="ListParagraph"/>
              <w:spacing w:before="120"/>
              <w:ind w:left="1440"/>
              <w:rPr>
                <w:rFonts w:cstheme="minorHAnsi"/>
                <w:i/>
                <w:iCs/>
              </w:rPr>
            </w:pPr>
            <w:r w:rsidRPr="00520C23">
              <w:rPr>
                <w:rFonts w:cstheme="minorHAnsi"/>
                <w:i/>
                <w:iCs/>
              </w:rPr>
              <w:t xml:space="preserve">Initial site establishment (including native vegetation clearing); Geophysical and Geological (G&amp;G) Surveys; Drilling and well construction; Civil construction; Well testing; </w:t>
            </w:r>
            <w:r w:rsidRPr="00520C23">
              <w:rPr>
                <w:rFonts w:cstheme="minorHAnsi"/>
                <w:i/>
                <w:iCs/>
              </w:rPr>
              <w:lastRenderedPageBreak/>
              <w:t xml:space="preserve">Well interventions, activities and workovers; Well decommissioning; Site rehabilitation Monitoring and compliance strategy for onshore petroleum </w:t>
            </w:r>
          </w:p>
          <w:p w14:paraId="34BE1BD1" w14:textId="77777777" w:rsidR="00472715" w:rsidRPr="00520C23" w:rsidRDefault="00472715" w:rsidP="00472715">
            <w:pPr>
              <w:pStyle w:val="ListParagraph"/>
              <w:numPr>
                <w:ilvl w:val="0"/>
                <w:numId w:val="3"/>
              </w:numPr>
              <w:spacing w:before="120"/>
              <w:ind w:left="1440"/>
              <w:rPr>
                <w:rFonts w:cstheme="minorHAnsi"/>
                <w:i/>
                <w:iCs/>
              </w:rPr>
            </w:pPr>
            <w:r w:rsidRPr="00520C23">
              <w:rPr>
                <w:rFonts w:cstheme="minorHAnsi"/>
                <w:i/>
                <w:iCs/>
              </w:rPr>
              <w:t xml:space="preserve">Production </w:t>
            </w:r>
          </w:p>
          <w:p w14:paraId="0E1F2445" w14:textId="378E346A" w:rsidR="00472715" w:rsidRPr="00520C23" w:rsidRDefault="00472715" w:rsidP="00472715">
            <w:pPr>
              <w:pStyle w:val="ListParagraph"/>
              <w:spacing w:before="120"/>
              <w:ind w:left="1440"/>
              <w:rPr>
                <w:rFonts w:cstheme="minorHAnsi"/>
                <w:i/>
                <w:iCs/>
              </w:rPr>
            </w:pPr>
            <w:r w:rsidRPr="00520C23">
              <w:rPr>
                <w:rFonts w:cstheme="minorHAnsi"/>
                <w:i/>
                <w:iCs/>
              </w:rPr>
              <w:t>Safety and System Integrity testing and maintenance; Management Plan Implementation Strategies; Drilling and well construction; Vegetation clearing; Civil construction; Geophysical and Geological surveys; Well interventions, activities and workovers; Facilities construction, operations and maintenance; Site rehabilitation; Transportation</w:t>
            </w:r>
          </w:p>
          <w:p w14:paraId="38E637DF" w14:textId="72FA4445" w:rsidR="00472715" w:rsidRPr="00520C23" w:rsidRDefault="00472715" w:rsidP="00472715">
            <w:pPr>
              <w:pStyle w:val="ListParagraph"/>
              <w:numPr>
                <w:ilvl w:val="0"/>
                <w:numId w:val="3"/>
              </w:numPr>
              <w:spacing w:before="120"/>
              <w:ind w:left="1440"/>
              <w:rPr>
                <w:rFonts w:cstheme="minorHAnsi"/>
                <w:i/>
                <w:iCs/>
              </w:rPr>
            </w:pPr>
            <w:r w:rsidRPr="00520C23">
              <w:rPr>
                <w:rFonts w:cstheme="minorHAnsi"/>
                <w:i/>
                <w:iCs/>
              </w:rPr>
              <w:t xml:space="preserve">Decommissioning and Rehabilitation </w:t>
            </w:r>
          </w:p>
          <w:p w14:paraId="474B6A5A" w14:textId="016EAE72" w:rsidR="00472715" w:rsidRPr="00520C23" w:rsidRDefault="00472715" w:rsidP="00472715">
            <w:pPr>
              <w:pStyle w:val="ListParagraph"/>
              <w:spacing w:before="120"/>
              <w:ind w:left="1440"/>
              <w:rPr>
                <w:rFonts w:cstheme="minorHAnsi"/>
              </w:rPr>
            </w:pPr>
            <w:r w:rsidRPr="00520C23">
              <w:rPr>
                <w:rFonts w:cstheme="minorHAnsi"/>
                <w:i/>
                <w:iCs/>
              </w:rPr>
              <w:t xml:space="preserve">Well abandonment or decommissioning; Facilities removal; Site rehabilitation; On-going monitoring and reporting” </w:t>
            </w:r>
            <w:r w:rsidRPr="00F90BAA">
              <w:rPr>
                <w:rFonts w:cstheme="minorHAnsi"/>
              </w:rPr>
              <w:t>(see p. 10-11 of the Strategy).</w:t>
            </w:r>
          </w:p>
        </w:tc>
        <w:tc>
          <w:tcPr>
            <w:tcW w:w="5310" w:type="dxa"/>
            <w:shd w:val="clear" w:color="auto" w:fill="FED6D6"/>
          </w:tcPr>
          <w:p w14:paraId="20093D52" w14:textId="49D740FC" w:rsidR="00472715" w:rsidRPr="00520C23" w:rsidRDefault="00472715" w:rsidP="00472715">
            <w:pPr>
              <w:autoSpaceDE w:val="0"/>
              <w:autoSpaceDN w:val="0"/>
              <w:adjustRightInd w:val="0"/>
              <w:rPr>
                <w:rFonts w:cstheme="minorHAnsi"/>
              </w:rPr>
            </w:pPr>
            <w:r w:rsidRPr="00520C23">
              <w:rPr>
                <w:rFonts w:cstheme="minorHAnsi"/>
              </w:rPr>
              <w:lastRenderedPageBreak/>
              <w:t>The government’s Compliance and Monitoring Strategy does not adequately address recommendation 14.26, which has the goal of achieving certainty and transparency (see pages 423-424 of the Inquiry’s report).</w:t>
            </w:r>
          </w:p>
          <w:p w14:paraId="2502D060" w14:textId="77777777" w:rsidR="00472715" w:rsidRPr="00520C23" w:rsidRDefault="00472715" w:rsidP="00472715">
            <w:pPr>
              <w:autoSpaceDE w:val="0"/>
              <w:autoSpaceDN w:val="0"/>
              <w:adjustRightInd w:val="0"/>
              <w:rPr>
                <w:rFonts w:cstheme="minorHAnsi"/>
              </w:rPr>
            </w:pPr>
          </w:p>
          <w:p w14:paraId="41D9913E" w14:textId="594F63F4" w:rsidR="00472715" w:rsidRPr="00520C23" w:rsidRDefault="00472715" w:rsidP="00472715">
            <w:pPr>
              <w:autoSpaceDE w:val="0"/>
              <w:autoSpaceDN w:val="0"/>
              <w:adjustRightInd w:val="0"/>
              <w:rPr>
                <w:rFonts w:cstheme="minorHAnsi"/>
              </w:rPr>
            </w:pPr>
            <w:r w:rsidRPr="00520C23">
              <w:rPr>
                <w:rFonts w:cstheme="minorHAnsi"/>
                <w:i/>
                <w:iCs/>
                <w:u w:val="single"/>
              </w:rPr>
              <w:t>Comments</w:t>
            </w:r>
            <w:r w:rsidRPr="00520C23">
              <w:rPr>
                <w:rFonts w:cstheme="minorHAnsi"/>
              </w:rPr>
              <w:t xml:space="preserve"> </w:t>
            </w:r>
          </w:p>
          <w:p w14:paraId="1633F303" w14:textId="2C833395" w:rsidR="00472715" w:rsidRPr="00520C23" w:rsidRDefault="00472715" w:rsidP="00472715">
            <w:pPr>
              <w:pStyle w:val="ListParagraph"/>
              <w:numPr>
                <w:ilvl w:val="0"/>
                <w:numId w:val="19"/>
              </w:numPr>
              <w:autoSpaceDE w:val="0"/>
              <w:autoSpaceDN w:val="0"/>
              <w:adjustRightInd w:val="0"/>
              <w:rPr>
                <w:rFonts w:cstheme="minorHAnsi"/>
              </w:rPr>
            </w:pPr>
            <w:r w:rsidRPr="00520C23">
              <w:rPr>
                <w:rFonts w:cstheme="minorHAnsi"/>
              </w:rPr>
              <w:t xml:space="preserve">The Strategy appears to be a stopgap measure to enable exploration to proceed, given that it has few specifics beyond promising a monitoring program from DENR in the future. </w:t>
            </w:r>
          </w:p>
          <w:p w14:paraId="160645A6" w14:textId="61E4E6E6" w:rsidR="00472715" w:rsidRPr="00520C23" w:rsidRDefault="00472715" w:rsidP="00472715">
            <w:pPr>
              <w:pStyle w:val="ListParagraph"/>
              <w:numPr>
                <w:ilvl w:val="0"/>
                <w:numId w:val="19"/>
              </w:numPr>
              <w:autoSpaceDE w:val="0"/>
              <w:autoSpaceDN w:val="0"/>
              <w:adjustRightInd w:val="0"/>
              <w:rPr>
                <w:rFonts w:cstheme="minorHAnsi"/>
              </w:rPr>
            </w:pPr>
            <w:r w:rsidRPr="00520C23">
              <w:rPr>
                <w:rFonts w:cstheme="minorHAnsi"/>
              </w:rPr>
              <w:t>The Strategy emphasizes the primary role of corporate reporting and third-party complaints, and notes that sanctions or revocation of a licence are a last resort. For example, see the pyramid figure on page 13, with “Preventative measures” as the foundation and “Punitive measures” as the much smaller tip. Also, on page 16, the Strategy states that it “</w:t>
            </w:r>
            <w:r w:rsidRPr="00520C23">
              <w:rPr>
                <w:rFonts w:cstheme="minorHAnsi"/>
                <w:i/>
                <w:iCs/>
              </w:rPr>
              <w:t>promotes a strong culture of accountability, self-monitoring and reporting from Industry. The primary responsibility for monitoring compliance with environment management plans, operational licence conditions, codes of practice and national and international standards will reside with the interest holder.</w:t>
            </w:r>
            <w:r w:rsidRPr="00520C23">
              <w:rPr>
                <w:rFonts w:cstheme="minorHAnsi"/>
              </w:rPr>
              <w:t>”</w:t>
            </w:r>
          </w:p>
          <w:p w14:paraId="7DD97FB0" w14:textId="0FCD9626" w:rsidR="00472715" w:rsidRPr="00520C23" w:rsidRDefault="00472715" w:rsidP="00472715">
            <w:pPr>
              <w:autoSpaceDE w:val="0"/>
              <w:autoSpaceDN w:val="0"/>
              <w:adjustRightInd w:val="0"/>
              <w:rPr>
                <w:rFonts w:cstheme="minorHAnsi"/>
              </w:rPr>
            </w:pPr>
            <w:r w:rsidRPr="00520C23">
              <w:rPr>
                <w:rFonts w:cstheme="minorHAnsi"/>
              </w:rPr>
              <w:t xml:space="preserve"> </w:t>
            </w:r>
          </w:p>
        </w:tc>
      </w:tr>
      <w:tr w:rsidR="00EA3C33" w:rsidRPr="00520C23" w14:paraId="0DA4D5D9" w14:textId="4893DD75" w:rsidTr="00EA3C33">
        <w:tc>
          <w:tcPr>
            <w:tcW w:w="846" w:type="dxa"/>
            <w:shd w:val="clear" w:color="auto" w:fill="auto"/>
          </w:tcPr>
          <w:p w14:paraId="5843B9BA" w14:textId="67C83DCD" w:rsidR="00472715" w:rsidRPr="00520C23" w:rsidRDefault="00472715" w:rsidP="00472715">
            <w:pPr>
              <w:spacing w:before="120"/>
              <w:jc w:val="center"/>
              <w:rPr>
                <w:rFonts w:cstheme="minorHAnsi"/>
              </w:rPr>
            </w:pPr>
            <w:r w:rsidRPr="00520C23">
              <w:rPr>
                <w:rFonts w:cstheme="minorHAnsi"/>
              </w:rPr>
              <w:t>14.27b</w:t>
            </w:r>
          </w:p>
        </w:tc>
        <w:tc>
          <w:tcPr>
            <w:tcW w:w="4819" w:type="dxa"/>
            <w:shd w:val="clear" w:color="auto" w:fill="auto"/>
          </w:tcPr>
          <w:p w14:paraId="59D2F8EF" w14:textId="6F2A960C" w:rsidR="00472715" w:rsidRPr="00520C23" w:rsidRDefault="00472715" w:rsidP="00472715">
            <w:pPr>
              <w:spacing w:before="120"/>
              <w:rPr>
                <w:rFonts w:cstheme="minorHAnsi"/>
                <w:i/>
                <w:iCs/>
              </w:rPr>
            </w:pPr>
            <w:r w:rsidRPr="00520C23">
              <w:rPr>
                <w:rFonts w:cstheme="minorHAnsi"/>
                <w:i/>
                <w:iCs/>
              </w:rPr>
              <w:t>That prior to any further exploration approvals being granted, a hotline be established permitting anonymous reporting about any onshore shale gas industry non-compliance. That all such reports be immediately investigated.</w:t>
            </w:r>
          </w:p>
        </w:tc>
        <w:tc>
          <w:tcPr>
            <w:tcW w:w="5760" w:type="dxa"/>
            <w:shd w:val="clear" w:color="auto" w:fill="auto"/>
          </w:tcPr>
          <w:p w14:paraId="108609B2" w14:textId="4642567C" w:rsidR="00472715" w:rsidRPr="00520C23" w:rsidRDefault="00472715" w:rsidP="00472715">
            <w:pPr>
              <w:spacing w:before="120"/>
              <w:rPr>
                <w:rFonts w:cstheme="minorHAnsi"/>
              </w:rPr>
            </w:pPr>
            <w:r w:rsidRPr="00520C23">
              <w:rPr>
                <w:rFonts w:cstheme="minorHAnsi"/>
              </w:rPr>
              <w:t>An Onshore Gas Non-compliance Hotline was introduced in November 2018 to address recommendation 14.27b.</w:t>
            </w:r>
          </w:p>
        </w:tc>
        <w:tc>
          <w:tcPr>
            <w:tcW w:w="5670" w:type="dxa"/>
            <w:shd w:val="clear" w:color="auto" w:fill="auto"/>
          </w:tcPr>
          <w:p w14:paraId="1BDA5B54" w14:textId="40F9D94B" w:rsidR="00472715" w:rsidRPr="00520C23" w:rsidRDefault="00472715" w:rsidP="00472715">
            <w:pPr>
              <w:spacing w:before="120"/>
              <w:rPr>
                <w:rFonts w:cstheme="minorHAnsi"/>
              </w:rPr>
            </w:pPr>
            <w:r w:rsidRPr="00520C23">
              <w:rPr>
                <w:rFonts w:cstheme="minorHAnsi"/>
              </w:rPr>
              <w:t xml:space="preserve">The community hotline can be found </w:t>
            </w:r>
            <w:hyperlink r:id="rId102" w:anchor=":~:text=The%2024%20hour%20toll%20free%20hotline%20is%3A%201800%20413%20889." w:history="1">
              <w:r w:rsidRPr="00520C23">
                <w:rPr>
                  <w:rStyle w:val="Hyperlink"/>
                  <w:rFonts w:cstheme="minorHAnsi"/>
                </w:rPr>
                <w:t>here</w:t>
              </w:r>
            </w:hyperlink>
            <w:r w:rsidRPr="00520C23">
              <w:rPr>
                <w:rFonts w:cstheme="minorHAnsi"/>
              </w:rPr>
              <w:t>.</w:t>
            </w:r>
          </w:p>
        </w:tc>
        <w:tc>
          <w:tcPr>
            <w:tcW w:w="5310" w:type="dxa"/>
            <w:shd w:val="clear" w:color="auto" w:fill="E2EFD9" w:themeFill="accent6" w:themeFillTint="33"/>
          </w:tcPr>
          <w:p w14:paraId="70DAB3D8" w14:textId="6281E72B" w:rsidR="00472715" w:rsidRPr="00520C23" w:rsidRDefault="00472715" w:rsidP="00472715">
            <w:pPr>
              <w:spacing w:before="120"/>
              <w:rPr>
                <w:rFonts w:cstheme="minorHAnsi"/>
              </w:rPr>
            </w:pPr>
            <w:r w:rsidRPr="00520C23">
              <w:rPr>
                <w:rFonts w:cstheme="minorHAnsi"/>
              </w:rPr>
              <w:t>This recommendation has been implemented.</w:t>
            </w:r>
          </w:p>
        </w:tc>
      </w:tr>
      <w:tr w:rsidR="00472715" w:rsidRPr="00520C23" w14:paraId="4D966B67" w14:textId="77777777" w:rsidTr="00EA3C33">
        <w:tc>
          <w:tcPr>
            <w:tcW w:w="846" w:type="dxa"/>
            <w:shd w:val="clear" w:color="auto" w:fill="auto"/>
          </w:tcPr>
          <w:p w14:paraId="1375B3E8" w14:textId="12456273" w:rsidR="00472715" w:rsidRPr="00520C23" w:rsidRDefault="00472715" w:rsidP="00472715">
            <w:pPr>
              <w:spacing w:before="120"/>
              <w:jc w:val="center"/>
              <w:rPr>
                <w:rFonts w:cstheme="minorHAnsi"/>
              </w:rPr>
            </w:pPr>
            <w:r w:rsidRPr="00520C23">
              <w:rPr>
                <w:rFonts w:cstheme="minorHAnsi"/>
              </w:rPr>
              <w:t>14.28</w:t>
            </w:r>
          </w:p>
        </w:tc>
        <w:tc>
          <w:tcPr>
            <w:tcW w:w="4819" w:type="dxa"/>
            <w:shd w:val="clear" w:color="auto" w:fill="FFFFFF" w:themeFill="background1"/>
          </w:tcPr>
          <w:p w14:paraId="25837F6F" w14:textId="0ADE8523" w:rsidR="00472715" w:rsidRPr="00520C23" w:rsidRDefault="00472715" w:rsidP="00472715">
            <w:pPr>
              <w:spacing w:before="120"/>
              <w:rPr>
                <w:rFonts w:cstheme="minorHAnsi"/>
                <w:i/>
                <w:iCs/>
              </w:rPr>
            </w:pPr>
            <w:r w:rsidRPr="00520C23">
              <w:rPr>
                <w:rFonts w:cstheme="minorHAnsi"/>
                <w:i/>
                <w:iCs/>
              </w:rPr>
              <w:t>That prior to the grant of any further production approvals, the Government considers developing and implementing a tiered regulatory model such as the one in SA, whereby gas companies with a demonstrated record of good governance and compliance require a lower level of monitoring, with a corresponding reduction in regulatory fees.</w:t>
            </w:r>
          </w:p>
        </w:tc>
        <w:tc>
          <w:tcPr>
            <w:tcW w:w="11430" w:type="dxa"/>
            <w:gridSpan w:val="2"/>
            <w:shd w:val="clear" w:color="auto" w:fill="FFFFFF" w:themeFill="background1"/>
          </w:tcPr>
          <w:p w14:paraId="1BE00636" w14:textId="15A63B67" w:rsidR="00472715" w:rsidRPr="00520C23" w:rsidRDefault="00472715" w:rsidP="00472715">
            <w:pPr>
              <w:spacing w:before="120"/>
              <w:rPr>
                <w:rFonts w:cstheme="minorHAnsi"/>
              </w:rPr>
            </w:pPr>
            <w:r w:rsidRPr="00520C23">
              <w:rPr>
                <w:rFonts w:ascii="Calibri" w:eastAsia="Calibri" w:hAnsi="Calibri" w:cs="Calibri"/>
                <w:color w:val="313131"/>
              </w:rPr>
              <w:t>The NT Government has determined that all petroleum operators will require a high level of monitoring by the regulator for at least five years following the recommencement of unconventional gas activity in February 2019.</w:t>
            </w:r>
          </w:p>
        </w:tc>
        <w:tc>
          <w:tcPr>
            <w:tcW w:w="5310" w:type="dxa"/>
            <w:shd w:val="clear" w:color="auto" w:fill="FFF2CC" w:themeFill="accent4" w:themeFillTint="33"/>
          </w:tcPr>
          <w:p w14:paraId="7C5B1736" w14:textId="7F537379" w:rsidR="00472715" w:rsidRPr="00520C23" w:rsidRDefault="00472715" w:rsidP="00472715">
            <w:pPr>
              <w:spacing w:before="120"/>
              <w:rPr>
                <w:rFonts w:cstheme="minorHAnsi"/>
              </w:rPr>
            </w:pPr>
            <w:r>
              <w:rPr>
                <w:rFonts w:cstheme="minorHAnsi"/>
              </w:rPr>
              <w:t>The implementation progress description seems to indicate that the NT government is taking a more stringent approach than the recommendation language requires; however, it has not defined the “high level of monitoring” to be conducted in 2019-2024, and it is unclear what monitoring was conducted at all, considering the public criticisms of the good governance record of Tamboran Resources (as one of the most prominent operators of fracking projects in the NT since it acquired Origin Energy’s interests in Beetaloo). It is also unclear what level of monitoring will be required after the five-year period and whether it will be adequate.</w:t>
            </w:r>
          </w:p>
        </w:tc>
      </w:tr>
      <w:tr w:rsidR="00EA3C33" w:rsidRPr="00520C23" w14:paraId="5BCDD57D" w14:textId="77777777" w:rsidTr="00EA3C33">
        <w:tc>
          <w:tcPr>
            <w:tcW w:w="846" w:type="dxa"/>
            <w:shd w:val="clear" w:color="auto" w:fill="auto"/>
          </w:tcPr>
          <w:p w14:paraId="2BFE4093" w14:textId="73505A09" w:rsidR="00FF6A1C" w:rsidRDefault="00FF6A1C" w:rsidP="00472715">
            <w:pPr>
              <w:spacing w:before="120"/>
              <w:jc w:val="center"/>
              <w:rPr>
                <w:rFonts w:cstheme="minorHAnsi"/>
              </w:rPr>
            </w:pPr>
            <w:r>
              <w:rPr>
                <w:rFonts w:cstheme="minorHAnsi"/>
              </w:rPr>
              <w:t>14</w:t>
            </w:r>
            <w:r w:rsidR="00A70532">
              <w:rPr>
                <w:rFonts w:cstheme="minorHAnsi"/>
              </w:rPr>
              <w:t>.29</w:t>
            </w:r>
          </w:p>
        </w:tc>
        <w:tc>
          <w:tcPr>
            <w:tcW w:w="4819" w:type="dxa"/>
            <w:shd w:val="clear" w:color="auto" w:fill="FFFFFF" w:themeFill="background1"/>
          </w:tcPr>
          <w:p w14:paraId="425E1797" w14:textId="77777777" w:rsidR="00A70532" w:rsidRPr="00A70532" w:rsidRDefault="00A70532" w:rsidP="00A70532">
            <w:pPr>
              <w:spacing w:before="120"/>
              <w:rPr>
                <w:rFonts w:cstheme="minorHAnsi"/>
                <w:i/>
                <w:iCs/>
                <w:lang w:val="en-US"/>
              </w:rPr>
            </w:pPr>
            <w:r w:rsidRPr="00A70532">
              <w:rPr>
                <w:rFonts w:cstheme="minorHAnsi"/>
                <w:i/>
                <w:iCs/>
                <w:lang w:val="en-US"/>
              </w:rPr>
              <w:t>That prior the grant of any further production approvals, the Government enacts a broader range of powers to sanction, including but not limited to:</w:t>
            </w:r>
          </w:p>
          <w:p w14:paraId="2EBBD5EC" w14:textId="77777777" w:rsidR="00A70532" w:rsidRPr="00A70532" w:rsidRDefault="00A70532" w:rsidP="00A70532">
            <w:pPr>
              <w:numPr>
                <w:ilvl w:val="0"/>
                <w:numId w:val="111"/>
              </w:numPr>
              <w:spacing w:before="120"/>
              <w:rPr>
                <w:rFonts w:cstheme="minorHAnsi"/>
                <w:i/>
                <w:iCs/>
                <w:lang w:val="en-US"/>
              </w:rPr>
            </w:pPr>
            <w:r w:rsidRPr="00A70532">
              <w:rPr>
                <w:rFonts w:cstheme="minorHAnsi"/>
                <w:i/>
                <w:iCs/>
                <w:lang w:val="en-US"/>
              </w:rPr>
              <w:t>remediation and rehabilitation orders;</w:t>
            </w:r>
          </w:p>
          <w:p w14:paraId="770A7EF2" w14:textId="77777777" w:rsidR="00A70532" w:rsidRPr="00A70532" w:rsidRDefault="00A70532" w:rsidP="00A70532">
            <w:pPr>
              <w:numPr>
                <w:ilvl w:val="0"/>
                <w:numId w:val="111"/>
              </w:numPr>
              <w:spacing w:before="120"/>
              <w:rPr>
                <w:rFonts w:cstheme="minorHAnsi"/>
                <w:i/>
                <w:iCs/>
                <w:lang w:val="en-US"/>
              </w:rPr>
            </w:pPr>
            <w:r w:rsidRPr="00A70532">
              <w:rPr>
                <w:rFonts w:cstheme="minorHAnsi"/>
                <w:i/>
                <w:iCs/>
                <w:lang w:val="en-US"/>
              </w:rPr>
              <w:t>revocation, suspension or variation orders;</w:t>
            </w:r>
          </w:p>
          <w:p w14:paraId="68B4FD4D" w14:textId="77777777" w:rsidR="00A70532" w:rsidRPr="00A70532" w:rsidRDefault="00A70532" w:rsidP="00A70532">
            <w:pPr>
              <w:numPr>
                <w:ilvl w:val="0"/>
                <w:numId w:val="111"/>
              </w:numPr>
              <w:spacing w:before="120"/>
              <w:rPr>
                <w:rFonts w:cstheme="minorHAnsi"/>
                <w:i/>
                <w:iCs/>
                <w:lang w:val="en-US"/>
              </w:rPr>
            </w:pPr>
            <w:r w:rsidRPr="00A70532">
              <w:rPr>
                <w:rFonts w:cstheme="minorHAnsi"/>
                <w:i/>
                <w:iCs/>
                <w:lang w:val="en-US"/>
              </w:rPr>
              <w:t>enforceable undertakings;</w:t>
            </w:r>
          </w:p>
          <w:p w14:paraId="026668B0" w14:textId="77777777" w:rsidR="00A70532" w:rsidRPr="00A70532" w:rsidRDefault="00A70532" w:rsidP="00A70532">
            <w:pPr>
              <w:numPr>
                <w:ilvl w:val="0"/>
                <w:numId w:val="111"/>
              </w:numPr>
              <w:spacing w:before="120"/>
              <w:rPr>
                <w:rFonts w:cstheme="minorHAnsi"/>
                <w:i/>
                <w:iCs/>
                <w:lang w:val="en-US"/>
              </w:rPr>
            </w:pPr>
            <w:r w:rsidRPr="00A70532">
              <w:rPr>
                <w:rFonts w:cstheme="minorHAnsi"/>
                <w:i/>
                <w:iCs/>
                <w:lang w:val="en-US"/>
              </w:rPr>
              <w:t>injunctions (mandatory and prohibitory); and</w:t>
            </w:r>
          </w:p>
          <w:p w14:paraId="2DCAE920" w14:textId="77777777" w:rsidR="00A70532" w:rsidRPr="00A70532" w:rsidRDefault="00A70532" w:rsidP="00A70532">
            <w:pPr>
              <w:numPr>
                <w:ilvl w:val="0"/>
                <w:numId w:val="111"/>
              </w:numPr>
              <w:spacing w:before="120"/>
              <w:rPr>
                <w:rFonts w:cstheme="minorHAnsi"/>
                <w:i/>
                <w:iCs/>
                <w:lang w:val="en-US"/>
              </w:rPr>
            </w:pPr>
            <w:r w:rsidRPr="00A70532">
              <w:rPr>
                <w:rFonts w:cstheme="minorHAnsi"/>
                <w:i/>
                <w:iCs/>
                <w:lang w:val="en-US"/>
              </w:rPr>
              <w:t>civil penalties.</w:t>
            </w:r>
          </w:p>
          <w:p w14:paraId="540015B4" w14:textId="77777777" w:rsidR="00FF6A1C" w:rsidRPr="00CD69AC" w:rsidRDefault="00FF6A1C" w:rsidP="00472715">
            <w:pPr>
              <w:spacing w:before="120"/>
              <w:rPr>
                <w:rFonts w:cstheme="minorHAnsi"/>
                <w:i/>
                <w:iCs/>
              </w:rPr>
            </w:pPr>
          </w:p>
        </w:tc>
        <w:tc>
          <w:tcPr>
            <w:tcW w:w="5760" w:type="dxa"/>
            <w:shd w:val="clear" w:color="auto" w:fill="FFFFFF" w:themeFill="background1"/>
          </w:tcPr>
          <w:p w14:paraId="104BB04B" w14:textId="77777777" w:rsidR="00110F13" w:rsidRPr="00110F13" w:rsidRDefault="00110F13" w:rsidP="00110F13">
            <w:pPr>
              <w:spacing w:before="120"/>
              <w:rPr>
                <w:rFonts w:ascii="Calibri" w:eastAsia="Calibri" w:hAnsi="Calibri" w:cs="Calibri"/>
                <w:color w:val="313131"/>
                <w:lang w:val="en-US"/>
              </w:rPr>
            </w:pPr>
            <w:r w:rsidRPr="00110F13">
              <w:rPr>
                <w:rFonts w:ascii="Calibri" w:eastAsia="Calibri" w:hAnsi="Calibri" w:cs="Calibri"/>
                <w:color w:val="313131"/>
                <w:lang w:val="en-US"/>
              </w:rPr>
              <w:t>The Petroleum Legislation Amendment Bill 2022 was introduced in the Legislative Assembly on 12 October 2022, passed on 1 December 2022 and assented to on 16 December 2022. Refer to </w:t>
            </w:r>
            <w:hyperlink r:id="rId103" w:history="1">
              <w:r w:rsidRPr="00110F13">
                <w:rPr>
                  <w:rStyle w:val="Hyperlink"/>
                  <w:rFonts w:ascii="Calibri" w:eastAsia="Calibri" w:hAnsi="Calibri" w:cs="Calibri"/>
                  <w:lang w:val="en-US"/>
                </w:rPr>
                <w:t>Special Gazette S64 PDF (182.5 KB)</w:t>
              </w:r>
            </w:hyperlink>
            <w:r w:rsidRPr="00110F13">
              <w:rPr>
                <w:rFonts w:ascii="Calibri" w:eastAsia="Calibri" w:hAnsi="Calibri" w:cs="Calibri"/>
                <w:color w:val="313131"/>
                <w:lang w:val="en-US"/>
              </w:rPr>
              <w:t> published on 19 December 2022.</w:t>
            </w:r>
          </w:p>
          <w:p w14:paraId="42B6F747" w14:textId="77777777" w:rsidR="00110F13" w:rsidRPr="00110F13" w:rsidRDefault="00110F13" w:rsidP="00110F13">
            <w:pPr>
              <w:spacing w:before="120"/>
              <w:rPr>
                <w:rFonts w:ascii="Calibri" w:eastAsia="Calibri" w:hAnsi="Calibri" w:cs="Calibri"/>
                <w:color w:val="313131"/>
                <w:lang w:val="en-US"/>
              </w:rPr>
            </w:pPr>
            <w:r w:rsidRPr="00110F13">
              <w:rPr>
                <w:rFonts w:ascii="Calibri" w:eastAsia="Calibri" w:hAnsi="Calibri" w:cs="Calibri"/>
                <w:color w:val="313131"/>
                <w:lang w:val="en-US"/>
              </w:rPr>
              <w:t>Amendments to the </w:t>
            </w:r>
            <w:r w:rsidRPr="00110F13">
              <w:rPr>
                <w:rFonts w:ascii="Calibri" w:eastAsia="Calibri" w:hAnsi="Calibri" w:cs="Calibri"/>
                <w:i/>
                <w:iCs/>
                <w:color w:val="313131"/>
                <w:lang w:val="en-US"/>
              </w:rPr>
              <w:t>Petroleum Act </w:t>
            </w:r>
            <w:r w:rsidRPr="00110F13">
              <w:rPr>
                <w:rFonts w:ascii="Calibri" w:eastAsia="Calibri" w:hAnsi="Calibri" w:cs="Calibri"/>
                <w:color w:val="313131"/>
                <w:lang w:val="en-US"/>
              </w:rPr>
              <w:t>will establish a contemporary suite of regulatory powers to be enacted to effectively regulate the gas industry in the Northern Territory. Some of the changes include administrative amendments while others allow for a broadening of enforcement powers.</w:t>
            </w:r>
          </w:p>
          <w:p w14:paraId="003923F5" w14:textId="77777777" w:rsidR="00110F13" w:rsidRPr="00110F13" w:rsidRDefault="00110F13" w:rsidP="00110F13">
            <w:pPr>
              <w:spacing w:before="120"/>
              <w:rPr>
                <w:rFonts w:ascii="Calibri" w:eastAsia="Calibri" w:hAnsi="Calibri" w:cs="Calibri"/>
                <w:color w:val="313131"/>
                <w:lang w:val="en-US"/>
              </w:rPr>
            </w:pPr>
            <w:r w:rsidRPr="00110F13">
              <w:rPr>
                <w:rFonts w:ascii="Calibri" w:eastAsia="Calibri" w:hAnsi="Calibri" w:cs="Calibri"/>
                <w:color w:val="313131"/>
                <w:lang w:val="en-US"/>
              </w:rPr>
              <w:t xml:space="preserve">The Bill establishes that Ministers, CEOs and Inspectors will have broader powers and more ways to encourage and facilitate compliance. In additional to the powers to sanctions </w:t>
            </w:r>
            <w:r w:rsidRPr="00110F13">
              <w:rPr>
                <w:rFonts w:ascii="Calibri" w:eastAsia="Calibri" w:hAnsi="Calibri" w:cs="Calibri"/>
                <w:color w:val="313131"/>
                <w:lang w:val="en-US"/>
              </w:rPr>
              <w:lastRenderedPageBreak/>
              <w:t>required by Recommendation 14.29, the Bill provides for additional powers and functions for the inspectors and CEOs responsible for petroleum regulation and a suite of new regulatory ‘tools’ including compliance directions, stop work notices and audit directions.</w:t>
            </w:r>
          </w:p>
          <w:p w14:paraId="224D6D1D" w14:textId="77777777" w:rsidR="00FF6A1C" w:rsidRPr="00CD69AC" w:rsidRDefault="00FF6A1C" w:rsidP="00CD69AC">
            <w:pPr>
              <w:spacing w:before="120"/>
              <w:rPr>
                <w:rFonts w:ascii="Calibri" w:eastAsia="Calibri" w:hAnsi="Calibri" w:cs="Calibri"/>
                <w:color w:val="313131"/>
                <w:lang w:val="en-US"/>
              </w:rPr>
            </w:pPr>
          </w:p>
        </w:tc>
        <w:tc>
          <w:tcPr>
            <w:tcW w:w="5670" w:type="dxa"/>
            <w:shd w:val="clear" w:color="auto" w:fill="FFFFFF" w:themeFill="background1"/>
          </w:tcPr>
          <w:p w14:paraId="5F1847D0" w14:textId="77777777" w:rsidR="00950677" w:rsidRPr="00950677" w:rsidRDefault="00950677" w:rsidP="00950677">
            <w:pPr>
              <w:spacing w:before="120"/>
              <w:rPr>
                <w:b/>
                <w:bCs/>
                <w:sz w:val="23"/>
                <w:szCs w:val="23"/>
                <w:lang w:val="en-US"/>
              </w:rPr>
            </w:pPr>
            <w:r w:rsidRPr="00950677">
              <w:rPr>
                <w:b/>
                <w:bCs/>
                <w:sz w:val="23"/>
                <w:szCs w:val="23"/>
                <w:lang w:val="en-US"/>
              </w:rPr>
              <w:lastRenderedPageBreak/>
              <w:t xml:space="preserve">117AAF Order to remedy breach </w:t>
            </w:r>
          </w:p>
          <w:p w14:paraId="6578F8B5" w14:textId="77777777" w:rsidR="00FF6A1C" w:rsidRDefault="00950677" w:rsidP="00950677">
            <w:pPr>
              <w:spacing w:before="120"/>
              <w:rPr>
                <w:sz w:val="23"/>
                <w:szCs w:val="23"/>
                <w:lang w:val="en-US"/>
              </w:rPr>
            </w:pPr>
            <w:r w:rsidRPr="00950677">
              <w:rPr>
                <w:sz w:val="23"/>
                <w:szCs w:val="23"/>
                <w:lang w:val="en-US"/>
              </w:rPr>
              <w:t>(1) If a person is found guilty of an offence against this Act, the court may, in addition to any sanction that it may impose, make an order requiring the person to take specified steps, within a specified period, to remedy any matter caused by the commission of the offence that appears to the court to be within the person’s power to remedy.</w:t>
            </w:r>
          </w:p>
          <w:p w14:paraId="47F0785D" w14:textId="529B6999" w:rsidR="001A687A" w:rsidRDefault="001A687A" w:rsidP="00950677">
            <w:pPr>
              <w:spacing w:before="120"/>
              <w:rPr>
                <w:sz w:val="23"/>
                <w:szCs w:val="23"/>
                <w:lang w:val="en-US"/>
              </w:rPr>
            </w:pPr>
            <w:r>
              <w:rPr>
                <w:b/>
                <w:bCs/>
                <w:sz w:val="23"/>
                <w:szCs w:val="23"/>
                <w:lang w:val="en-US"/>
              </w:rPr>
              <w:t xml:space="preserve">Section 89R </w:t>
            </w:r>
            <w:r w:rsidR="00194669">
              <w:rPr>
                <w:sz w:val="23"/>
                <w:szCs w:val="23"/>
                <w:lang w:val="en-US"/>
              </w:rPr>
              <w:t>provides for stop work notices</w:t>
            </w:r>
            <w:r w:rsidR="004C51F2">
              <w:rPr>
                <w:sz w:val="23"/>
                <w:szCs w:val="23"/>
                <w:lang w:val="en-US"/>
              </w:rPr>
              <w:t>.</w:t>
            </w:r>
          </w:p>
          <w:p w14:paraId="7B9841F7" w14:textId="77777777" w:rsidR="004C51F2" w:rsidRPr="004C51F2" w:rsidRDefault="004C51F2" w:rsidP="004C51F2">
            <w:pPr>
              <w:spacing w:before="120"/>
              <w:rPr>
                <w:sz w:val="23"/>
                <w:szCs w:val="23"/>
                <w:lang w:val="en-US"/>
              </w:rPr>
            </w:pPr>
            <w:r w:rsidRPr="004C51F2">
              <w:rPr>
                <w:sz w:val="23"/>
                <w:szCs w:val="23"/>
                <w:lang w:val="en-US"/>
              </w:rPr>
              <w:t xml:space="preserve">(3) A stop work notice may direct the holder of the petroleum interest to do one or more of the following: </w:t>
            </w:r>
          </w:p>
          <w:p w14:paraId="1B27A6EE" w14:textId="77777777" w:rsidR="004C51F2" w:rsidRPr="004C51F2" w:rsidRDefault="004C51F2" w:rsidP="004C51F2">
            <w:pPr>
              <w:spacing w:before="120"/>
              <w:ind w:left="250"/>
              <w:rPr>
                <w:sz w:val="23"/>
                <w:szCs w:val="23"/>
                <w:lang w:val="en-US"/>
              </w:rPr>
            </w:pPr>
            <w:r w:rsidRPr="004C51F2">
              <w:rPr>
                <w:sz w:val="23"/>
                <w:szCs w:val="23"/>
                <w:lang w:val="en-US"/>
              </w:rPr>
              <w:lastRenderedPageBreak/>
              <w:t xml:space="preserve">(a) to discontinue, or not commence, a specified activity indefinitely or for a specified period or until further notice from the CEO; </w:t>
            </w:r>
          </w:p>
          <w:p w14:paraId="5B3BB839" w14:textId="77777777" w:rsidR="004C51F2" w:rsidRPr="004C51F2" w:rsidRDefault="004C51F2" w:rsidP="004C51F2">
            <w:pPr>
              <w:spacing w:before="120"/>
              <w:ind w:left="250"/>
              <w:rPr>
                <w:sz w:val="23"/>
                <w:szCs w:val="23"/>
                <w:lang w:val="en-US"/>
              </w:rPr>
            </w:pPr>
            <w:r w:rsidRPr="004C51F2">
              <w:rPr>
                <w:sz w:val="23"/>
                <w:szCs w:val="23"/>
                <w:lang w:val="en-US"/>
              </w:rPr>
              <w:t xml:space="preserve">(b) to not carry on a specified activity except in accordance with any conditions specified in the notice; </w:t>
            </w:r>
          </w:p>
          <w:p w14:paraId="1D1752A7" w14:textId="77777777" w:rsidR="004C51F2" w:rsidRPr="004C51F2" w:rsidRDefault="004C51F2" w:rsidP="004C51F2">
            <w:pPr>
              <w:spacing w:before="120"/>
              <w:ind w:left="250"/>
              <w:rPr>
                <w:sz w:val="23"/>
                <w:szCs w:val="23"/>
                <w:lang w:val="en-US"/>
              </w:rPr>
            </w:pPr>
            <w:r w:rsidRPr="004C51F2">
              <w:rPr>
                <w:sz w:val="23"/>
                <w:szCs w:val="23"/>
                <w:lang w:val="en-US"/>
              </w:rPr>
              <w:t xml:space="preserve">(c) to take action to prevent, minimise, manage or remediate any: </w:t>
            </w:r>
          </w:p>
          <w:p w14:paraId="36DA5547" w14:textId="22CA9262" w:rsidR="004C51F2" w:rsidRDefault="004C51F2" w:rsidP="004C51F2">
            <w:pPr>
              <w:spacing w:before="120"/>
              <w:ind w:left="520"/>
              <w:rPr>
                <w:sz w:val="23"/>
                <w:szCs w:val="23"/>
                <w:lang w:val="en-US"/>
              </w:rPr>
            </w:pPr>
            <w:r w:rsidRPr="004C51F2">
              <w:rPr>
                <w:sz w:val="23"/>
                <w:szCs w:val="23"/>
                <w:lang w:val="en-US"/>
              </w:rPr>
              <w:t>(i) environmental harm including by rehabilitating any aspect of the environment; or</w:t>
            </w:r>
          </w:p>
          <w:p w14:paraId="26332B0C" w14:textId="75F14517" w:rsidR="00E05D0E" w:rsidRPr="00194669" w:rsidRDefault="00E05D0E" w:rsidP="004C51F2">
            <w:pPr>
              <w:spacing w:before="120"/>
              <w:ind w:left="520"/>
              <w:rPr>
                <w:sz w:val="23"/>
                <w:szCs w:val="23"/>
                <w:lang w:val="en-US"/>
              </w:rPr>
            </w:pPr>
            <w:r>
              <w:rPr>
                <w:sz w:val="23"/>
                <w:szCs w:val="23"/>
              </w:rPr>
              <w:t>(ii) harm to a person, infrastructure or property, or any potential harm (including the risk of harm and future harm) to or potential adverse effect on a person, infrastructure or property.</w:t>
            </w:r>
          </w:p>
          <w:p w14:paraId="68346AEE" w14:textId="4ABCCC25" w:rsidR="006C767E" w:rsidRDefault="006C767E" w:rsidP="00950677">
            <w:pPr>
              <w:spacing w:before="120"/>
              <w:rPr>
                <w:sz w:val="23"/>
                <w:szCs w:val="23"/>
                <w:lang w:val="en-US"/>
              </w:rPr>
            </w:pPr>
            <w:r w:rsidRPr="006C767E">
              <w:rPr>
                <w:b/>
                <w:bCs/>
                <w:sz w:val="23"/>
                <w:szCs w:val="23"/>
                <w:lang w:val="en-US"/>
              </w:rPr>
              <w:t>Section 117ABM</w:t>
            </w:r>
            <w:r>
              <w:rPr>
                <w:sz w:val="23"/>
                <w:szCs w:val="23"/>
                <w:lang w:val="en-US"/>
              </w:rPr>
              <w:t xml:space="preserve"> provides for enforceable undertakings.</w:t>
            </w:r>
          </w:p>
          <w:p w14:paraId="0B35BEDB" w14:textId="77777777" w:rsidR="004F4630" w:rsidRDefault="004229C3" w:rsidP="00950677">
            <w:pPr>
              <w:spacing w:before="120"/>
              <w:rPr>
                <w:sz w:val="23"/>
                <w:szCs w:val="23"/>
                <w:lang w:val="en-US"/>
              </w:rPr>
            </w:pPr>
            <w:r w:rsidRPr="003D1D0F">
              <w:rPr>
                <w:b/>
                <w:bCs/>
                <w:sz w:val="23"/>
                <w:szCs w:val="23"/>
                <w:lang w:val="en-US"/>
              </w:rPr>
              <w:t>Sections</w:t>
            </w:r>
            <w:r>
              <w:rPr>
                <w:sz w:val="23"/>
                <w:szCs w:val="23"/>
                <w:lang w:val="en-US"/>
              </w:rPr>
              <w:t xml:space="preserve"> </w:t>
            </w:r>
            <w:r w:rsidRPr="00784649">
              <w:rPr>
                <w:b/>
                <w:bCs/>
                <w:sz w:val="23"/>
                <w:szCs w:val="23"/>
                <w:lang w:val="en-US"/>
              </w:rPr>
              <w:t>117AB</w:t>
            </w:r>
            <w:r>
              <w:rPr>
                <w:sz w:val="23"/>
                <w:szCs w:val="23"/>
                <w:lang w:val="en-US"/>
              </w:rPr>
              <w:t xml:space="preserve">, </w:t>
            </w:r>
            <w:r w:rsidR="00F649FB" w:rsidRPr="00784649">
              <w:rPr>
                <w:b/>
                <w:bCs/>
                <w:sz w:val="23"/>
                <w:szCs w:val="23"/>
                <w:lang w:val="en-US"/>
              </w:rPr>
              <w:t>117ABA</w:t>
            </w:r>
            <w:r w:rsidR="00F649FB">
              <w:rPr>
                <w:sz w:val="23"/>
                <w:szCs w:val="23"/>
                <w:lang w:val="en-US"/>
              </w:rPr>
              <w:t xml:space="preserve">, and </w:t>
            </w:r>
            <w:r w:rsidR="00F649FB" w:rsidRPr="00784649">
              <w:rPr>
                <w:b/>
                <w:bCs/>
                <w:sz w:val="23"/>
                <w:szCs w:val="23"/>
                <w:lang w:val="en-US"/>
              </w:rPr>
              <w:t>117ABB</w:t>
            </w:r>
            <w:r w:rsidR="00F649FB">
              <w:rPr>
                <w:sz w:val="23"/>
                <w:szCs w:val="23"/>
                <w:lang w:val="en-US"/>
              </w:rPr>
              <w:t xml:space="preserve"> of the Petroleum Act 1984 now provide for injunctions. </w:t>
            </w:r>
          </w:p>
          <w:p w14:paraId="7BBE303D" w14:textId="77777777" w:rsidR="00CC7DB9" w:rsidRPr="00CC7DB9" w:rsidRDefault="00CC7DB9" w:rsidP="00CC7DB9">
            <w:pPr>
              <w:spacing w:before="120"/>
              <w:rPr>
                <w:sz w:val="23"/>
                <w:szCs w:val="23"/>
                <w:lang w:val="en-US"/>
              </w:rPr>
            </w:pPr>
            <w:r w:rsidRPr="00CC7DB9">
              <w:rPr>
                <w:b/>
                <w:bCs/>
                <w:sz w:val="23"/>
                <w:szCs w:val="23"/>
                <w:lang w:val="en-US"/>
              </w:rPr>
              <w:t xml:space="preserve">117ABX Civil orders </w:t>
            </w:r>
          </w:p>
          <w:p w14:paraId="4A4D970F" w14:textId="77777777" w:rsidR="00CC7DB9" w:rsidRPr="00CC7DB9" w:rsidRDefault="00CC7DB9" w:rsidP="00CC7DB9">
            <w:pPr>
              <w:spacing w:before="120"/>
              <w:rPr>
                <w:sz w:val="23"/>
                <w:szCs w:val="23"/>
                <w:lang w:val="en-US"/>
              </w:rPr>
            </w:pPr>
            <w:r w:rsidRPr="00CC7DB9">
              <w:rPr>
                <w:sz w:val="23"/>
                <w:szCs w:val="23"/>
                <w:lang w:val="en-US"/>
              </w:rPr>
              <w:t xml:space="preserve">(1) On the application of the CEO, the Local Court may make the following orders against a person if the Local Court is satisfied on the balance of probabilities that the person contravened a provision of this Act that is an offence referred to in section 117ABT: </w:t>
            </w:r>
          </w:p>
          <w:p w14:paraId="6C43525C" w14:textId="4CF936E1" w:rsidR="00784649" w:rsidRDefault="00CC7DB9" w:rsidP="006D75F9">
            <w:pPr>
              <w:spacing w:before="120"/>
              <w:ind w:left="250"/>
              <w:rPr>
                <w:sz w:val="23"/>
                <w:szCs w:val="23"/>
                <w:lang w:val="en-US"/>
              </w:rPr>
            </w:pPr>
            <w:r w:rsidRPr="00CC7DB9">
              <w:rPr>
                <w:sz w:val="23"/>
                <w:szCs w:val="23"/>
                <w:lang w:val="en-US"/>
              </w:rPr>
              <w:t>(a) an order that the person pay to the Territory a pecuniary amount as a civil penalty</w:t>
            </w:r>
            <w:r>
              <w:rPr>
                <w:sz w:val="23"/>
                <w:szCs w:val="23"/>
                <w:lang w:val="en-US"/>
              </w:rPr>
              <w:t xml:space="preserve"> . . ..</w:t>
            </w:r>
          </w:p>
          <w:p w14:paraId="0F5FB965" w14:textId="24A00B80" w:rsidR="00CC7DB9" w:rsidRPr="003D1D0F" w:rsidRDefault="003D1D0F" w:rsidP="00CC7DB9">
            <w:pPr>
              <w:spacing w:before="120"/>
              <w:rPr>
                <w:sz w:val="23"/>
                <w:szCs w:val="23"/>
              </w:rPr>
            </w:pPr>
            <w:r w:rsidRPr="003D1D0F">
              <w:rPr>
                <w:b/>
                <w:bCs/>
                <w:sz w:val="23"/>
                <w:szCs w:val="23"/>
              </w:rPr>
              <w:t>Section 117AAB</w:t>
            </w:r>
            <w:r>
              <w:rPr>
                <w:sz w:val="23"/>
                <w:szCs w:val="23"/>
              </w:rPr>
              <w:t xml:space="preserve"> specifies maximum penalties for environmental offences. </w:t>
            </w:r>
          </w:p>
        </w:tc>
        <w:tc>
          <w:tcPr>
            <w:tcW w:w="5310" w:type="dxa"/>
            <w:shd w:val="clear" w:color="auto" w:fill="E2EFD9" w:themeFill="accent6" w:themeFillTint="33"/>
          </w:tcPr>
          <w:p w14:paraId="66581295" w14:textId="39252D4A" w:rsidR="00FF6A1C" w:rsidRDefault="00491B6F" w:rsidP="00472715">
            <w:pPr>
              <w:spacing w:before="120"/>
              <w:rPr>
                <w:rFonts w:cstheme="minorHAnsi"/>
              </w:rPr>
            </w:pPr>
            <w:r>
              <w:rPr>
                <w:rFonts w:cstheme="minorHAnsi"/>
              </w:rPr>
              <w:lastRenderedPageBreak/>
              <w:t xml:space="preserve">This recommendation has been fully implemented. </w:t>
            </w:r>
          </w:p>
        </w:tc>
      </w:tr>
      <w:tr w:rsidR="00926644" w:rsidRPr="00520C23" w14:paraId="454FA860" w14:textId="77777777" w:rsidTr="00EA3C33">
        <w:tc>
          <w:tcPr>
            <w:tcW w:w="846" w:type="dxa"/>
            <w:shd w:val="clear" w:color="auto" w:fill="auto"/>
          </w:tcPr>
          <w:p w14:paraId="4F2F895E" w14:textId="7ACBED17" w:rsidR="00926644" w:rsidRDefault="00926644" w:rsidP="00472715">
            <w:pPr>
              <w:spacing w:before="120"/>
              <w:jc w:val="center"/>
              <w:rPr>
                <w:rFonts w:cstheme="minorHAnsi"/>
              </w:rPr>
            </w:pPr>
            <w:r>
              <w:rPr>
                <w:rFonts w:cstheme="minorHAnsi"/>
              </w:rPr>
              <w:t>14.30</w:t>
            </w:r>
          </w:p>
        </w:tc>
        <w:tc>
          <w:tcPr>
            <w:tcW w:w="4819" w:type="dxa"/>
            <w:shd w:val="clear" w:color="auto" w:fill="FFFFFF" w:themeFill="background1"/>
          </w:tcPr>
          <w:p w14:paraId="6DB5BB5B" w14:textId="76F86A7E" w:rsidR="00926644" w:rsidRPr="00CD69AC" w:rsidRDefault="00926644" w:rsidP="00472715">
            <w:pPr>
              <w:spacing w:before="120"/>
              <w:rPr>
                <w:rFonts w:cstheme="minorHAnsi"/>
                <w:i/>
                <w:iCs/>
              </w:rPr>
            </w:pPr>
            <w:r w:rsidRPr="00AA4C50">
              <w:rPr>
                <w:rFonts w:cstheme="minorHAnsi"/>
                <w:i/>
                <w:iCs/>
              </w:rPr>
              <w:t>That prior to the grant of any further production approvals, the Government enacts provisions establishing a chain of responsibility for gas companies and related parties to ensure compliance with environmental obligations.</w:t>
            </w:r>
          </w:p>
        </w:tc>
        <w:tc>
          <w:tcPr>
            <w:tcW w:w="11430" w:type="dxa"/>
            <w:gridSpan w:val="2"/>
            <w:shd w:val="clear" w:color="auto" w:fill="FFFFFF" w:themeFill="background1"/>
          </w:tcPr>
          <w:p w14:paraId="65A8170F" w14:textId="77777777" w:rsidR="00926644" w:rsidRPr="00AA4C50" w:rsidRDefault="00926644" w:rsidP="00AA4C50">
            <w:pPr>
              <w:spacing w:before="120"/>
              <w:rPr>
                <w:rFonts w:ascii="Calibri" w:eastAsia="Calibri" w:hAnsi="Calibri" w:cs="Calibri"/>
                <w:color w:val="313131"/>
                <w:lang w:val="en-US"/>
              </w:rPr>
            </w:pPr>
            <w:r w:rsidRPr="00AA4C50">
              <w:rPr>
                <w:rFonts w:ascii="Calibri" w:eastAsia="Calibri" w:hAnsi="Calibri" w:cs="Calibri"/>
                <w:color w:val="313131"/>
                <w:lang w:val="en-US"/>
              </w:rPr>
              <w:t>The Environment Protection Legislation Amendment (Chain of Responsibility) Bill was introduced into the Legislative Assembly on 12 October 2022 and was passed in November 2022.</w:t>
            </w:r>
          </w:p>
          <w:p w14:paraId="7C89831F" w14:textId="77777777" w:rsidR="00926644" w:rsidRDefault="00926644" w:rsidP="00AA4C50">
            <w:pPr>
              <w:spacing w:before="120"/>
              <w:rPr>
                <w:rFonts w:ascii="Calibri" w:eastAsia="Calibri" w:hAnsi="Calibri" w:cs="Calibri"/>
                <w:color w:val="313131"/>
                <w:lang w:val="en-US"/>
              </w:rPr>
            </w:pPr>
            <w:r w:rsidRPr="00AA4C50">
              <w:rPr>
                <w:rFonts w:ascii="Calibri" w:eastAsia="Calibri" w:hAnsi="Calibri" w:cs="Calibri"/>
                <w:color w:val="313131"/>
                <w:lang w:val="en-US"/>
              </w:rPr>
              <w:t>Amendments to the </w:t>
            </w:r>
            <w:r w:rsidRPr="00AA4C50">
              <w:rPr>
                <w:rFonts w:ascii="Calibri" w:eastAsia="Calibri" w:hAnsi="Calibri" w:cs="Calibri"/>
                <w:i/>
                <w:iCs/>
                <w:color w:val="313131"/>
                <w:lang w:val="en-US"/>
              </w:rPr>
              <w:t>Environment Protection Act 2019</w:t>
            </w:r>
            <w:r w:rsidRPr="00AA4C50">
              <w:rPr>
                <w:rFonts w:ascii="Calibri" w:eastAsia="Calibri" w:hAnsi="Calibri" w:cs="Calibri"/>
                <w:color w:val="313131"/>
                <w:lang w:val="en-US"/>
              </w:rPr>
              <w:t> will establish a chain of responsibility laws framework applying to the petroleum industry.</w:t>
            </w:r>
          </w:p>
          <w:p w14:paraId="2BEF9D13" w14:textId="053C219E" w:rsidR="00107495" w:rsidRPr="00AA4C50" w:rsidRDefault="00107495" w:rsidP="00107495">
            <w:pPr>
              <w:spacing w:before="120"/>
              <w:jc w:val="center"/>
              <w:rPr>
                <w:rFonts w:ascii="Calibri" w:eastAsia="Calibri" w:hAnsi="Calibri" w:cs="Calibri"/>
                <w:color w:val="313131"/>
                <w:lang w:val="en-US"/>
              </w:rPr>
            </w:pPr>
            <w:r>
              <w:rPr>
                <w:rFonts w:ascii="Calibri" w:eastAsia="Calibri" w:hAnsi="Calibri" w:cs="Calibri"/>
                <w:color w:val="313131"/>
                <w:lang w:val="en-US"/>
              </w:rPr>
              <w:t>***</w:t>
            </w:r>
          </w:p>
          <w:p w14:paraId="3742994D" w14:textId="7C5387A8" w:rsidR="00926644" w:rsidRPr="00926644" w:rsidRDefault="00356342" w:rsidP="00472715">
            <w:pPr>
              <w:spacing w:before="120"/>
              <w:rPr>
                <w:sz w:val="23"/>
                <w:szCs w:val="23"/>
              </w:rPr>
            </w:pPr>
            <w:r>
              <w:rPr>
                <w:noProof/>
              </w:rPr>
              <w:lastRenderedPageBreak/>
              <w:drawing>
                <wp:anchor distT="0" distB="0" distL="114300" distR="114300" simplePos="0" relativeHeight="251658240" behindDoc="1" locked="0" layoutInCell="1" allowOverlap="1" wp14:anchorId="239CB226" wp14:editId="155DEDAE">
                  <wp:simplePos x="0" y="0"/>
                  <wp:positionH relativeFrom="column">
                    <wp:posOffset>106045</wp:posOffset>
                  </wp:positionH>
                  <wp:positionV relativeFrom="paragraph">
                    <wp:posOffset>306070</wp:posOffset>
                  </wp:positionV>
                  <wp:extent cx="7067550" cy="2997835"/>
                  <wp:effectExtent l="0" t="0" r="0" b="0"/>
                  <wp:wrapTight wrapText="bothSides">
                    <wp:wrapPolygon edited="0">
                      <wp:start x="0" y="0"/>
                      <wp:lineTo x="0" y="21412"/>
                      <wp:lineTo x="21542" y="21412"/>
                      <wp:lineTo x="21542" y="0"/>
                      <wp:lineTo x="0" y="0"/>
                    </wp:wrapPolygon>
                  </wp:wrapTight>
                  <wp:docPr id="1" name="Picture 1">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4"/>
                          </pic:cNvPr>
                          <pic:cNvPicPr/>
                        </pic:nvPicPr>
                        <pic:blipFill rotWithShape="1">
                          <a:blip r:embed="rId105"/>
                          <a:srcRect l="2082" t="2172" r="1216" b="1"/>
                          <a:stretch/>
                        </pic:blipFill>
                        <pic:spPr bwMode="auto">
                          <a:xfrm>
                            <a:off x="0" y="0"/>
                            <a:ext cx="7067550" cy="299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6644" w:rsidRPr="00926644">
              <w:rPr>
                <w:sz w:val="23"/>
                <w:szCs w:val="23"/>
              </w:rPr>
              <w:t>The below figure describes how the chain of responsibility law works:</w:t>
            </w:r>
          </w:p>
        </w:tc>
        <w:tc>
          <w:tcPr>
            <w:tcW w:w="5310" w:type="dxa"/>
            <w:shd w:val="clear" w:color="auto" w:fill="E2EFD9" w:themeFill="accent6" w:themeFillTint="33"/>
          </w:tcPr>
          <w:p w14:paraId="10FFEDBA" w14:textId="444DBAA3" w:rsidR="00926644" w:rsidRPr="001466F1" w:rsidRDefault="00926644" w:rsidP="00472715">
            <w:pPr>
              <w:spacing w:before="120"/>
              <w:rPr>
                <w:rFonts w:cstheme="minorHAnsi"/>
                <w:lang w:val="en-US"/>
              </w:rPr>
            </w:pPr>
            <w:r>
              <w:rPr>
                <w:rFonts w:cstheme="minorHAnsi"/>
              </w:rPr>
              <w:lastRenderedPageBreak/>
              <w:t>This recommendation has been fully implemented</w:t>
            </w:r>
            <w:r w:rsidR="00107495">
              <w:rPr>
                <w:rFonts w:cstheme="minorHAnsi"/>
              </w:rPr>
              <w:t xml:space="preserve"> through the </w:t>
            </w:r>
            <w:hyperlink r:id="rId106" w:history="1">
              <w:r w:rsidR="00107495" w:rsidRPr="00107495">
                <w:rPr>
                  <w:rStyle w:val="Hyperlink"/>
                  <w:rFonts w:cstheme="minorHAnsi"/>
                </w:rPr>
                <w:t>Environment Protection Legislation Amendment (Chain of Responsibility) Bill</w:t>
              </w:r>
            </w:hyperlink>
            <w:r w:rsidR="001466F1">
              <w:rPr>
                <w:rFonts w:cstheme="minorHAnsi"/>
              </w:rPr>
              <w:t xml:space="preserve">, which amended the </w:t>
            </w:r>
            <w:r w:rsidR="001466F1" w:rsidRPr="001466F1">
              <w:rPr>
                <w:rFonts w:cstheme="minorHAnsi"/>
              </w:rPr>
              <w:t>Environment Protection Act 2019</w:t>
            </w:r>
            <w:r w:rsidR="001466F1">
              <w:rPr>
                <w:rFonts w:cstheme="minorHAnsi"/>
              </w:rPr>
              <w:t xml:space="preserve"> </w:t>
            </w:r>
            <w:r w:rsidR="001466F1" w:rsidRPr="001466F1">
              <w:rPr>
                <w:rFonts w:cstheme="minorHAnsi"/>
              </w:rPr>
              <w:t>and the Environment Protection Regulations 2020</w:t>
            </w:r>
            <w:r w:rsidR="001466F1">
              <w:rPr>
                <w:rFonts w:cstheme="minorHAnsi"/>
              </w:rPr>
              <w:t>.</w:t>
            </w:r>
          </w:p>
        </w:tc>
      </w:tr>
      <w:tr w:rsidR="00EA3C33" w:rsidRPr="00520C23" w14:paraId="14F2048B" w14:textId="77777777" w:rsidTr="00EA3C33">
        <w:tc>
          <w:tcPr>
            <w:tcW w:w="846" w:type="dxa"/>
            <w:shd w:val="clear" w:color="auto" w:fill="auto"/>
          </w:tcPr>
          <w:p w14:paraId="0FA7CDDA" w14:textId="169EE095" w:rsidR="00AC21AB" w:rsidRDefault="00AC21AB" w:rsidP="00472715">
            <w:pPr>
              <w:spacing w:before="120"/>
              <w:jc w:val="center"/>
              <w:rPr>
                <w:rFonts w:cstheme="minorHAnsi"/>
              </w:rPr>
            </w:pPr>
            <w:r>
              <w:rPr>
                <w:rFonts w:cstheme="minorHAnsi"/>
              </w:rPr>
              <w:t>14.31</w:t>
            </w:r>
          </w:p>
        </w:tc>
        <w:tc>
          <w:tcPr>
            <w:tcW w:w="4819" w:type="dxa"/>
            <w:shd w:val="clear" w:color="auto" w:fill="FFFFFF" w:themeFill="background1"/>
          </w:tcPr>
          <w:p w14:paraId="3390E529" w14:textId="49CCF8C7" w:rsidR="00AC21AB" w:rsidRPr="00CD69AC" w:rsidRDefault="00FD2F46" w:rsidP="00472715">
            <w:pPr>
              <w:spacing w:before="120"/>
              <w:rPr>
                <w:rFonts w:cstheme="minorHAnsi"/>
                <w:i/>
                <w:iCs/>
              </w:rPr>
            </w:pPr>
            <w:r w:rsidRPr="00FD2F46">
              <w:rPr>
                <w:rFonts w:cstheme="minorHAnsi"/>
                <w:i/>
                <w:iCs/>
              </w:rPr>
              <w:t>That prior to the grant of any further production approvals, the Government allows civil enforcement proceedings to be instituted to enforce potential or actual non-compliance with any legislation governing any onshore shale gas industry.</w:t>
            </w:r>
          </w:p>
        </w:tc>
        <w:tc>
          <w:tcPr>
            <w:tcW w:w="5760" w:type="dxa"/>
            <w:shd w:val="clear" w:color="auto" w:fill="FFFFFF" w:themeFill="background1"/>
          </w:tcPr>
          <w:p w14:paraId="2119F12F" w14:textId="77777777" w:rsidR="00FD2F46" w:rsidRPr="00FD2F46" w:rsidRDefault="00FD2F46" w:rsidP="00FD2F46">
            <w:pPr>
              <w:spacing w:before="120"/>
              <w:rPr>
                <w:rFonts w:ascii="Calibri" w:eastAsia="Calibri" w:hAnsi="Calibri" w:cs="Calibri"/>
                <w:color w:val="313131"/>
                <w:lang w:val="en-US"/>
              </w:rPr>
            </w:pPr>
            <w:r w:rsidRPr="00FD2F46">
              <w:rPr>
                <w:rFonts w:ascii="Calibri" w:eastAsia="Calibri" w:hAnsi="Calibri" w:cs="Calibri"/>
                <w:color w:val="313131"/>
                <w:lang w:val="en-US"/>
              </w:rPr>
              <w:t>The Petroleum Legislation Amendment Bill 2022 was introduced in the Legislative Assembly on 12 October 2022, passed on 1 December 2022 and assented to on 16 December 2022. Refer to </w:t>
            </w:r>
            <w:hyperlink r:id="rId107" w:history="1">
              <w:r w:rsidRPr="00FD2F46">
                <w:rPr>
                  <w:rStyle w:val="Hyperlink"/>
                  <w:rFonts w:ascii="Calibri" w:eastAsia="Calibri" w:hAnsi="Calibri" w:cs="Calibri"/>
                  <w:lang w:val="en-US"/>
                </w:rPr>
                <w:t>Special Gazette S64 PDF (182.5 KB)</w:t>
              </w:r>
            </w:hyperlink>
            <w:r w:rsidRPr="00FD2F46">
              <w:rPr>
                <w:rFonts w:ascii="Calibri" w:eastAsia="Calibri" w:hAnsi="Calibri" w:cs="Calibri"/>
                <w:color w:val="313131"/>
                <w:lang w:val="en-US"/>
              </w:rPr>
              <w:t> published on 19 December 2022.</w:t>
            </w:r>
          </w:p>
          <w:p w14:paraId="7B464DDF" w14:textId="77777777" w:rsidR="00FD2F46" w:rsidRPr="00FD2F46" w:rsidRDefault="00FD2F46" w:rsidP="00FD2F46">
            <w:pPr>
              <w:spacing w:before="120"/>
              <w:rPr>
                <w:rFonts w:ascii="Calibri" w:eastAsia="Calibri" w:hAnsi="Calibri" w:cs="Calibri"/>
                <w:color w:val="313131"/>
                <w:lang w:val="en-US"/>
              </w:rPr>
            </w:pPr>
            <w:r w:rsidRPr="00FD2F46">
              <w:rPr>
                <w:rFonts w:ascii="Calibri" w:eastAsia="Calibri" w:hAnsi="Calibri" w:cs="Calibri"/>
                <w:color w:val="313131"/>
                <w:lang w:val="en-US"/>
              </w:rPr>
              <w:t>Amendments to the </w:t>
            </w:r>
            <w:r w:rsidRPr="00FD2F46">
              <w:rPr>
                <w:rFonts w:ascii="Calibri" w:eastAsia="Calibri" w:hAnsi="Calibri" w:cs="Calibri"/>
                <w:i/>
                <w:iCs/>
                <w:color w:val="313131"/>
                <w:lang w:val="en-US"/>
              </w:rPr>
              <w:t>Petroleum Act </w:t>
            </w:r>
            <w:r w:rsidRPr="00FD2F46">
              <w:rPr>
                <w:rFonts w:ascii="Calibri" w:eastAsia="Calibri" w:hAnsi="Calibri" w:cs="Calibri"/>
                <w:color w:val="313131"/>
                <w:lang w:val="en-US"/>
              </w:rPr>
              <w:t>will establish new civil enforcement proceedings that will allow an affected or interested person, who is not the regulator, to apply to the Supreme Court to remedy or restrain a breach of regulatory obligation.</w:t>
            </w:r>
          </w:p>
          <w:p w14:paraId="58B41BE0" w14:textId="77777777" w:rsidR="00AC21AB" w:rsidRPr="00CD69AC" w:rsidRDefault="00AC21AB" w:rsidP="00CD69AC">
            <w:pPr>
              <w:spacing w:before="120"/>
              <w:rPr>
                <w:rFonts w:ascii="Calibri" w:eastAsia="Calibri" w:hAnsi="Calibri" w:cs="Calibri"/>
                <w:color w:val="313131"/>
                <w:lang w:val="en-US"/>
              </w:rPr>
            </w:pPr>
          </w:p>
        </w:tc>
        <w:tc>
          <w:tcPr>
            <w:tcW w:w="5670" w:type="dxa"/>
            <w:shd w:val="clear" w:color="auto" w:fill="FFFFFF" w:themeFill="background1"/>
          </w:tcPr>
          <w:p w14:paraId="6DD1943C" w14:textId="2F645988" w:rsidR="006E42C5" w:rsidRDefault="006E42C5" w:rsidP="0088157E">
            <w:pPr>
              <w:spacing w:before="120"/>
              <w:rPr>
                <w:b/>
                <w:bCs/>
                <w:sz w:val="23"/>
                <w:szCs w:val="23"/>
                <w:lang w:val="en-US"/>
              </w:rPr>
            </w:pPr>
            <w:r>
              <w:rPr>
                <w:b/>
                <w:bCs/>
                <w:sz w:val="23"/>
                <w:szCs w:val="23"/>
                <w:lang w:val="en-US"/>
              </w:rPr>
              <w:t>Amendment of Petroleum Act 1984</w:t>
            </w:r>
          </w:p>
          <w:p w14:paraId="3D21A586" w14:textId="39F7ADC1" w:rsidR="0088157E" w:rsidRPr="0088157E" w:rsidRDefault="0088157E" w:rsidP="0088157E">
            <w:pPr>
              <w:spacing w:before="120"/>
              <w:rPr>
                <w:b/>
                <w:bCs/>
                <w:sz w:val="23"/>
                <w:szCs w:val="23"/>
                <w:lang w:val="en-US"/>
              </w:rPr>
            </w:pPr>
            <w:r w:rsidRPr="0088157E">
              <w:rPr>
                <w:b/>
                <w:bCs/>
                <w:sz w:val="23"/>
                <w:szCs w:val="23"/>
                <w:lang w:val="en-US"/>
              </w:rPr>
              <w:t xml:space="preserve">Part VA Civil enforcement, penalties and other proceedings </w:t>
            </w:r>
          </w:p>
          <w:p w14:paraId="4ED7E9C9" w14:textId="77777777" w:rsidR="0088157E" w:rsidRPr="0088157E" w:rsidRDefault="0088157E" w:rsidP="0088157E">
            <w:pPr>
              <w:spacing w:before="120"/>
              <w:rPr>
                <w:b/>
                <w:bCs/>
                <w:sz w:val="23"/>
                <w:szCs w:val="23"/>
                <w:lang w:val="en-US"/>
              </w:rPr>
            </w:pPr>
            <w:r w:rsidRPr="0088157E">
              <w:rPr>
                <w:b/>
                <w:bCs/>
                <w:sz w:val="23"/>
                <w:szCs w:val="23"/>
                <w:lang w:val="en-US"/>
              </w:rPr>
              <w:t xml:space="preserve">Division 1 Injunctions and other orders </w:t>
            </w:r>
          </w:p>
          <w:p w14:paraId="4C309145" w14:textId="77777777" w:rsidR="0088157E" w:rsidRPr="0088157E" w:rsidRDefault="0088157E" w:rsidP="0088157E">
            <w:pPr>
              <w:spacing w:before="120"/>
              <w:rPr>
                <w:b/>
                <w:bCs/>
                <w:sz w:val="23"/>
                <w:szCs w:val="23"/>
                <w:lang w:val="en-US"/>
              </w:rPr>
            </w:pPr>
            <w:r w:rsidRPr="0088157E">
              <w:rPr>
                <w:b/>
                <w:bCs/>
                <w:sz w:val="23"/>
                <w:szCs w:val="23"/>
                <w:lang w:val="en-US"/>
              </w:rPr>
              <w:t xml:space="preserve">117AA Who may bring proceedings </w:t>
            </w:r>
          </w:p>
          <w:p w14:paraId="7E41E851" w14:textId="77777777" w:rsidR="0088157E" w:rsidRPr="0088157E" w:rsidRDefault="0088157E" w:rsidP="0088157E">
            <w:pPr>
              <w:spacing w:before="120"/>
              <w:rPr>
                <w:sz w:val="23"/>
                <w:szCs w:val="23"/>
                <w:lang w:val="en-US"/>
              </w:rPr>
            </w:pPr>
            <w:r w:rsidRPr="0088157E">
              <w:rPr>
                <w:sz w:val="23"/>
                <w:szCs w:val="23"/>
                <w:lang w:val="en-US"/>
              </w:rPr>
              <w:t xml:space="preserve">(1) Subject to this Division, an application for an injunction or other order under this Division may be brought by the following: </w:t>
            </w:r>
          </w:p>
          <w:p w14:paraId="417A6CFA" w14:textId="77777777" w:rsidR="0088157E" w:rsidRPr="0088157E" w:rsidRDefault="0088157E" w:rsidP="0088157E">
            <w:pPr>
              <w:spacing w:before="120"/>
              <w:ind w:left="256"/>
              <w:rPr>
                <w:sz w:val="23"/>
                <w:szCs w:val="23"/>
                <w:lang w:val="en-US"/>
              </w:rPr>
            </w:pPr>
            <w:r w:rsidRPr="0088157E">
              <w:rPr>
                <w:sz w:val="23"/>
                <w:szCs w:val="23"/>
                <w:lang w:val="en-US"/>
              </w:rPr>
              <w:t xml:space="preserve">(a) the Minister; </w:t>
            </w:r>
          </w:p>
          <w:p w14:paraId="10B38EE9" w14:textId="77777777" w:rsidR="0088157E" w:rsidRPr="0088157E" w:rsidRDefault="0088157E" w:rsidP="0088157E">
            <w:pPr>
              <w:spacing w:before="120"/>
              <w:ind w:left="256"/>
              <w:rPr>
                <w:sz w:val="23"/>
                <w:szCs w:val="23"/>
                <w:lang w:val="en-US"/>
              </w:rPr>
            </w:pPr>
            <w:r w:rsidRPr="0088157E">
              <w:rPr>
                <w:sz w:val="23"/>
                <w:szCs w:val="23"/>
                <w:lang w:val="en-US"/>
              </w:rPr>
              <w:t xml:space="preserve">(b) the CEO; </w:t>
            </w:r>
          </w:p>
          <w:p w14:paraId="537E3D30" w14:textId="77777777" w:rsidR="0088157E" w:rsidRPr="0088157E" w:rsidRDefault="0088157E" w:rsidP="0088157E">
            <w:pPr>
              <w:spacing w:before="120"/>
              <w:ind w:left="256"/>
              <w:rPr>
                <w:sz w:val="23"/>
                <w:szCs w:val="23"/>
                <w:lang w:val="en-US"/>
              </w:rPr>
            </w:pPr>
            <w:r w:rsidRPr="0088157E">
              <w:rPr>
                <w:sz w:val="23"/>
                <w:szCs w:val="23"/>
                <w:lang w:val="en-US"/>
              </w:rPr>
              <w:t xml:space="preserve">(c) a person who is affected by an alleged act or omission that contravenes or may contravene this Act; </w:t>
            </w:r>
          </w:p>
          <w:p w14:paraId="2CFE2B49" w14:textId="77777777" w:rsidR="0088157E" w:rsidRPr="0088157E" w:rsidRDefault="0088157E" w:rsidP="0088157E">
            <w:pPr>
              <w:spacing w:before="120"/>
              <w:ind w:left="256"/>
              <w:rPr>
                <w:sz w:val="23"/>
                <w:szCs w:val="23"/>
                <w:lang w:val="en-US"/>
              </w:rPr>
            </w:pPr>
            <w:r w:rsidRPr="0088157E">
              <w:rPr>
                <w:sz w:val="23"/>
                <w:szCs w:val="23"/>
                <w:lang w:val="en-US"/>
              </w:rPr>
              <w:t xml:space="preserve">(d) an interested person; </w:t>
            </w:r>
          </w:p>
          <w:p w14:paraId="2DCF68FC" w14:textId="77777777" w:rsidR="0088157E" w:rsidRPr="0088157E" w:rsidRDefault="0088157E" w:rsidP="0088157E">
            <w:pPr>
              <w:spacing w:before="120"/>
              <w:ind w:left="256"/>
              <w:rPr>
                <w:sz w:val="23"/>
                <w:szCs w:val="23"/>
                <w:lang w:val="en-US"/>
              </w:rPr>
            </w:pPr>
            <w:r w:rsidRPr="0088157E">
              <w:rPr>
                <w:sz w:val="23"/>
                <w:szCs w:val="23"/>
                <w:lang w:val="en-US"/>
              </w:rPr>
              <w:t xml:space="preserve">(e) a person acting on behalf of an unincorporated organisation that is an interested person; </w:t>
            </w:r>
          </w:p>
          <w:p w14:paraId="2D27E0B5" w14:textId="77777777" w:rsidR="00AC21AB" w:rsidRPr="00BB4158" w:rsidRDefault="0088157E" w:rsidP="0088157E">
            <w:pPr>
              <w:spacing w:before="120"/>
              <w:ind w:left="256"/>
              <w:rPr>
                <w:sz w:val="23"/>
                <w:szCs w:val="23"/>
                <w:lang w:val="en-US"/>
              </w:rPr>
            </w:pPr>
            <w:r w:rsidRPr="00BB4158">
              <w:rPr>
                <w:sz w:val="23"/>
                <w:szCs w:val="23"/>
                <w:lang w:val="en-US"/>
              </w:rPr>
              <w:t>(f) a person acting with the written consent of the Minister or the CEO.</w:t>
            </w:r>
          </w:p>
          <w:p w14:paraId="7605F948" w14:textId="77777777" w:rsidR="00403FCC" w:rsidRPr="00403FCC" w:rsidRDefault="00403FCC" w:rsidP="00403FCC">
            <w:pPr>
              <w:spacing w:before="120"/>
              <w:rPr>
                <w:sz w:val="23"/>
                <w:szCs w:val="23"/>
                <w:lang w:val="en-US"/>
              </w:rPr>
            </w:pPr>
            <w:r w:rsidRPr="00403FCC">
              <w:rPr>
                <w:b/>
                <w:bCs/>
                <w:sz w:val="23"/>
                <w:szCs w:val="23"/>
                <w:lang w:val="en-US"/>
              </w:rPr>
              <w:t xml:space="preserve">117AB Prohibitory injunctions </w:t>
            </w:r>
          </w:p>
          <w:p w14:paraId="5E393A30" w14:textId="77777777" w:rsidR="00403FCC" w:rsidRPr="00403FCC" w:rsidRDefault="00403FCC" w:rsidP="00403FCC">
            <w:pPr>
              <w:spacing w:before="120"/>
              <w:rPr>
                <w:sz w:val="23"/>
                <w:szCs w:val="23"/>
                <w:lang w:val="en-US"/>
              </w:rPr>
            </w:pPr>
            <w:r w:rsidRPr="00403FCC">
              <w:rPr>
                <w:sz w:val="23"/>
                <w:szCs w:val="23"/>
                <w:lang w:val="en-US"/>
              </w:rPr>
              <w:t xml:space="preserve">(1) If a person engaged, is engaging or is proposing to engage in conduct constituting a contravention of this Act, the Supreme Court may grant an injunction restraining the person from engaging in the conduct. </w:t>
            </w:r>
          </w:p>
          <w:p w14:paraId="547A272B" w14:textId="77777777" w:rsidR="00403FCC" w:rsidRPr="00403FCC" w:rsidRDefault="00403FCC" w:rsidP="00403FCC">
            <w:pPr>
              <w:spacing w:before="120"/>
              <w:rPr>
                <w:sz w:val="23"/>
                <w:szCs w:val="23"/>
                <w:lang w:val="en-US"/>
              </w:rPr>
            </w:pPr>
            <w:r w:rsidRPr="00403FCC">
              <w:rPr>
                <w:sz w:val="23"/>
                <w:szCs w:val="23"/>
                <w:lang w:val="en-US"/>
              </w:rPr>
              <w:t xml:space="preserve">(2) If the Supreme Court grants an injunction restraining a person from engaging in conduct and in the opinion of the </w:t>
            </w:r>
            <w:r w:rsidRPr="00403FCC">
              <w:rPr>
                <w:sz w:val="23"/>
                <w:szCs w:val="23"/>
                <w:lang w:val="en-US"/>
              </w:rPr>
              <w:lastRenderedPageBreak/>
              <w:t xml:space="preserve">Court it is desirable to do so, the Court may make an order requiring the person to do a specified act or thing. </w:t>
            </w:r>
          </w:p>
          <w:p w14:paraId="6D3D6D64" w14:textId="77777777" w:rsidR="00403FCC" w:rsidRPr="00403FCC" w:rsidRDefault="00403FCC" w:rsidP="00403FCC">
            <w:pPr>
              <w:spacing w:before="120"/>
              <w:rPr>
                <w:sz w:val="23"/>
                <w:szCs w:val="23"/>
                <w:lang w:val="en-US"/>
              </w:rPr>
            </w:pPr>
            <w:r w:rsidRPr="00403FCC">
              <w:rPr>
                <w:b/>
                <w:bCs/>
                <w:sz w:val="23"/>
                <w:szCs w:val="23"/>
                <w:lang w:val="en-US"/>
              </w:rPr>
              <w:t xml:space="preserve">117ABA Mandatory injunctions </w:t>
            </w:r>
          </w:p>
          <w:p w14:paraId="109E533E" w14:textId="689A8E2F" w:rsidR="00403FCC" w:rsidRPr="00BB4158" w:rsidRDefault="00403FCC" w:rsidP="00403FCC">
            <w:pPr>
              <w:spacing w:before="120"/>
              <w:rPr>
                <w:sz w:val="23"/>
                <w:szCs w:val="23"/>
              </w:rPr>
            </w:pPr>
            <w:r w:rsidRPr="00BB4158">
              <w:rPr>
                <w:sz w:val="23"/>
                <w:szCs w:val="23"/>
                <w:lang w:val="en-US"/>
              </w:rPr>
              <w:t>If a person refused or failed, or is refusing or failing, or is proposing to refuse or fail to do an act or thing, and the refusal or failure did, does or would constitute a contravention of this Act, the Supreme Court may grant an injunction requiring the person to do the act or thing.</w:t>
            </w:r>
          </w:p>
        </w:tc>
        <w:tc>
          <w:tcPr>
            <w:tcW w:w="5310" w:type="dxa"/>
            <w:shd w:val="clear" w:color="auto" w:fill="E2EFD9" w:themeFill="accent6" w:themeFillTint="33"/>
          </w:tcPr>
          <w:p w14:paraId="24EC3676" w14:textId="682188BF" w:rsidR="00AC21AB" w:rsidRDefault="00BB4158" w:rsidP="00472715">
            <w:pPr>
              <w:spacing w:before="120"/>
              <w:rPr>
                <w:rFonts w:cstheme="minorHAnsi"/>
              </w:rPr>
            </w:pPr>
            <w:r>
              <w:rPr>
                <w:rFonts w:cstheme="minorHAnsi"/>
              </w:rPr>
              <w:lastRenderedPageBreak/>
              <w:t>This recommendation has been fully implemented.</w:t>
            </w:r>
          </w:p>
        </w:tc>
      </w:tr>
      <w:tr w:rsidR="00EA3C33" w:rsidRPr="00520C23" w14:paraId="3398E73C" w14:textId="77777777" w:rsidTr="00EA3C33">
        <w:tc>
          <w:tcPr>
            <w:tcW w:w="846" w:type="dxa"/>
            <w:shd w:val="clear" w:color="auto" w:fill="auto"/>
          </w:tcPr>
          <w:p w14:paraId="5B867191" w14:textId="179DE6C2" w:rsidR="00170451" w:rsidRDefault="00170451" w:rsidP="00472715">
            <w:pPr>
              <w:spacing w:before="120"/>
              <w:jc w:val="center"/>
              <w:rPr>
                <w:rFonts w:cstheme="minorHAnsi"/>
              </w:rPr>
            </w:pPr>
            <w:r>
              <w:rPr>
                <w:rFonts w:cstheme="minorHAnsi"/>
              </w:rPr>
              <w:t>14.32</w:t>
            </w:r>
          </w:p>
        </w:tc>
        <w:tc>
          <w:tcPr>
            <w:tcW w:w="4819" w:type="dxa"/>
            <w:shd w:val="clear" w:color="auto" w:fill="FFFFFF" w:themeFill="background1"/>
          </w:tcPr>
          <w:p w14:paraId="4FBFBA3E" w14:textId="621DB59A" w:rsidR="00170451" w:rsidRPr="00A53E84" w:rsidRDefault="00CD69AC" w:rsidP="00472715">
            <w:pPr>
              <w:spacing w:before="120"/>
              <w:rPr>
                <w:rFonts w:cstheme="minorHAnsi"/>
                <w:i/>
                <w:iCs/>
              </w:rPr>
            </w:pPr>
            <w:r w:rsidRPr="00CD69AC">
              <w:rPr>
                <w:rFonts w:cstheme="minorHAnsi"/>
                <w:i/>
                <w:iCs/>
              </w:rPr>
              <w:t>That prior to the grant of any further production approvals, the Government enacts provisions that reverse the onus of proof or create rebuttable presumptions for pollution and environmental harm offences for all onshore shale gas activities.</w:t>
            </w:r>
          </w:p>
        </w:tc>
        <w:tc>
          <w:tcPr>
            <w:tcW w:w="5760" w:type="dxa"/>
            <w:shd w:val="clear" w:color="auto" w:fill="FFFFFF" w:themeFill="background1"/>
          </w:tcPr>
          <w:p w14:paraId="0EADF5B7" w14:textId="77777777" w:rsidR="00CD69AC" w:rsidRPr="00CD69AC" w:rsidRDefault="00CD69AC" w:rsidP="00CD69AC">
            <w:pPr>
              <w:spacing w:before="120"/>
              <w:rPr>
                <w:rFonts w:ascii="Calibri" w:eastAsia="Calibri" w:hAnsi="Calibri" w:cs="Calibri"/>
                <w:color w:val="313131"/>
                <w:lang w:val="en-US"/>
              </w:rPr>
            </w:pPr>
            <w:r w:rsidRPr="00CD69AC">
              <w:rPr>
                <w:rFonts w:ascii="Calibri" w:eastAsia="Calibri" w:hAnsi="Calibri" w:cs="Calibri"/>
                <w:color w:val="313131"/>
                <w:lang w:val="en-US"/>
              </w:rPr>
              <w:t>The Petroleum Legislation Amendment Bill 2022 was introduced in the Legislative Assembly on 12 October 2022, passed on 1 December 2022 and assented to on 16 December 2022. Refer to </w:t>
            </w:r>
            <w:hyperlink r:id="rId108" w:history="1">
              <w:r w:rsidRPr="00CD69AC">
                <w:rPr>
                  <w:rStyle w:val="Hyperlink"/>
                  <w:rFonts w:ascii="Calibri" w:eastAsia="Calibri" w:hAnsi="Calibri" w:cs="Calibri"/>
                  <w:lang w:val="en-US"/>
                </w:rPr>
                <w:t>Special Gazette S64 PDF (182.5 KB)</w:t>
              </w:r>
            </w:hyperlink>
            <w:r w:rsidRPr="00CD69AC">
              <w:rPr>
                <w:rFonts w:ascii="Calibri" w:eastAsia="Calibri" w:hAnsi="Calibri" w:cs="Calibri"/>
                <w:color w:val="313131"/>
                <w:lang w:val="en-US"/>
              </w:rPr>
              <w:t> published on 19 December 2022.</w:t>
            </w:r>
          </w:p>
          <w:p w14:paraId="42B82AC6" w14:textId="77777777" w:rsidR="00CD69AC" w:rsidRPr="00CD69AC" w:rsidRDefault="00CD69AC" w:rsidP="00CD69AC">
            <w:pPr>
              <w:spacing w:before="120"/>
              <w:rPr>
                <w:rFonts w:ascii="Calibri" w:eastAsia="Calibri" w:hAnsi="Calibri" w:cs="Calibri"/>
                <w:color w:val="313131"/>
                <w:lang w:val="en-US"/>
              </w:rPr>
            </w:pPr>
            <w:r w:rsidRPr="00CD69AC">
              <w:rPr>
                <w:rFonts w:ascii="Calibri" w:eastAsia="Calibri" w:hAnsi="Calibri" w:cs="Calibri"/>
                <w:color w:val="313131"/>
                <w:lang w:val="en-US"/>
              </w:rPr>
              <w:t>Amendments to the </w:t>
            </w:r>
            <w:r w:rsidRPr="00CD69AC">
              <w:rPr>
                <w:rFonts w:ascii="Calibri" w:eastAsia="Calibri" w:hAnsi="Calibri" w:cs="Calibri"/>
                <w:i/>
                <w:iCs/>
                <w:color w:val="313131"/>
                <w:lang w:val="en-US"/>
              </w:rPr>
              <w:t>Petroleum Act </w:t>
            </w:r>
            <w:r w:rsidRPr="00CD69AC">
              <w:rPr>
                <w:rFonts w:ascii="Calibri" w:eastAsia="Calibri" w:hAnsi="Calibri" w:cs="Calibri"/>
                <w:color w:val="313131"/>
                <w:lang w:val="en-US"/>
              </w:rPr>
              <w:t>include converting all offences to be compliant with Part IIAA of the </w:t>
            </w:r>
            <w:r w:rsidRPr="00CD69AC">
              <w:rPr>
                <w:rFonts w:ascii="Calibri" w:eastAsia="Calibri" w:hAnsi="Calibri" w:cs="Calibri"/>
                <w:i/>
                <w:iCs/>
                <w:color w:val="313131"/>
                <w:lang w:val="en-US"/>
              </w:rPr>
              <w:t>Criminal Code Act 1993</w:t>
            </w:r>
            <w:r w:rsidRPr="00CD69AC">
              <w:rPr>
                <w:rFonts w:ascii="Calibri" w:eastAsia="Calibri" w:hAnsi="Calibri" w:cs="Calibri"/>
                <w:color w:val="313131"/>
                <w:lang w:val="en-US"/>
              </w:rPr>
              <w:t> to provide clarity on the individual elements of each offence and subsequently address the burden of proof associated with each offence.</w:t>
            </w:r>
          </w:p>
          <w:p w14:paraId="2E4DC33D" w14:textId="77777777" w:rsidR="00CD69AC" w:rsidRPr="00CD69AC" w:rsidRDefault="00CD69AC" w:rsidP="00CD69AC">
            <w:pPr>
              <w:spacing w:before="120"/>
              <w:rPr>
                <w:rFonts w:ascii="Calibri" w:eastAsia="Calibri" w:hAnsi="Calibri" w:cs="Calibri"/>
                <w:color w:val="313131"/>
                <w:lang w:val="en-US"/>
              </w:rPr>
            </w:pPr>
            <w:r w:rsidRPr="00CD69AC">
              <w:rPr>
                <w:rFonts w:ascii="Calibri" w:eastAsia="Calibri" w:hAnsi="Calibri" w:cs="Calibri"/>
                <w:color w:val="313131"/>
                <w:lang w:val="en-US"/>
              </w:rPr>
              <w:t>The Bill also incorporates a number of defences, which reverse the onus of proof for a defendant who wants to rely on them in Court – both evidentiary and legal.</w:t>
            </w:r>
          </w:p>
          <w:p w14:paraId="0958ABF3" w14:textId="77777777" w:rsidR="00170451" w:rsidRPr="00A53E84" w:rsidRDefault="00170451" w:rsidP="00472715">
            <w:pPr>
              <w:spacing w:before="120"/>
              <w:rPr>
                <w:rFonts w:ascii="Calibri" w:eastAsia="Calibri" w:hAnsi="Calibri" w:cs="Calibri"/>
                <w:color w:val="313131"/>
                <w:lang w:val="en-US"/>
              </w:rPr>
            </w:pPr>
          </w:p>
        </w:tc>
        <w:tc>
          <w:tcPr>
            <w:tcW w:w="5670" w:type="dxa"/>
            <w:shd w:val="clear" w:color="auto" w:fill="FFFFFF" w:themeFill="background1"/>
          </w:tcPr>
          <w:p w14:paraId="5D65B9C2" w14:textId="7A8C702E" w:rsidR="006A3DAD" w:rsidRDefault="006A3DAD" w:rsidP="00472715">
            <w:pPr>
              <w:spacing w:before="120"/>
              <w:rPr>
                <w:b/>
                <w:bCs/>
                <w:sz w:val="23"/>
                <w:szCs w:val="23"/>
              </w:rPr>
            </w:pPr>
            <w:r w:rsidRPr="00BC347C">
              <w:rPr>
                <w:b/>
                <w:bCs/>
                <w:i/>
                <w:iCs/>
                <w:sz w:val="23"/>
                <w:szCs w:val="23"/>
              </w:rPr>
              <w:t>See, e.g.</w:t>
            </w:r>
            <w:r w:rsidR="00BC347C">
              <w:rPr>
                <w:b/>
                <w:bCs/>
                <w:sz w:val="23"/>
                <w:szCs w:val="23"/>
              </w:rPr>
              <w:t>,</w:t>
            </w:r>
            <w:r>
              <w:rPr>
                <w:b/>
                <w:bCs/>
                <w:sz w:val="23"/>
                <w:szCs w:val="23"/>
              </w:rPr>
              <w:t xml:space="preserve"> Amendment of Petroleum Act </w:t>
            </w:r>
            <w:r w:rsidR="00BC347C">
              <w:rPr>
                <w:b/>
                <w:bCs/>
                <w:sz w:val="23"/>
                <w:szCs w:val="23"/>
              </w:rPr>
              <w:t>1984:</w:t>
            </w:r>
          </w:p>
          <w:p w14:paraId="1431D554" w14:textId="71296DC9" w:rsidR="00170451" w:rsidRDefault="006C2963" w:rsidP="00472715">
            <w:pPr>
              <w:spacing w:before="120"/>
              <w:rPr>
                <w:b/>
                <w:bCs/>
                <w:sz w:val="23"/>
                <w:szCs w:val="23"/>
              </w:rPr>
            </w:pPr>
            <w:r>
              <w:rPr>
                <w:b/>
                <w:bCs/>
                <w:sz w:val="23"/>
                <w:szCs w:val="23"/>
              </w:rPr>
              <w:t>117AAB Environmental offences</w:t>
            </w:r>
          </w:p>
          <w:p w14:paraId="3F5BE6BE" w14:textId="77777777" w:rsidR="006A3DAD" w:rsidRDefault="006A3DAD" w:rsidP="00D070E3">
            <w:pPr>
              <w:rPr>
                <w:rFonts w:ascii="Calibri" w:eastAsia="Calibri" w:hAnsi="Calibri" w:cs="Calibri"/>
                <w:color w:val="313131"/>
                <w:lang w:val="en-US"/>
              </w:rPr>
            </w:pPr>
          </w:p>
          <w:p w14:paraId="733C9060" w14:textId="7C435D36" w:rsidR="00D070E3" w:rsidRPr="00D070E3" w:rsidRDefault="00D070E3" w:rsidP="00D070E3">
            <w:pPr>
              <w:rPr>
                <w:rFonts w:ascii="Calibri" w:eastAsia="Calibri" w:hAnsi="Calibri" w:cs="Calibri"/>
                <w:color w:val="313131"/>
                <w:lang w:val="en-US"/>
              </w:rPr>
            </w:pPr>
            <w:r w:rsidRPr="00D070E3">
              <w:rPr>
                <w:rFonts w:ascii="Calibri" w:eastAsia="Calibri" w:hAnsi="Calibri" w:cs="Calibri"/>
                <w:color w:val="313131"/>
                <w:lang w:val="en-US"/>
              </w:rPr>
              <w:t xml:space="preserve">(7) A person commits an offence if: </w:t>
            </w:r>
          </w:p>
          <w:p w14:paraId="757B94F4" w14:textId="77777777" w:rsidR="00D070E3" w:rsidRPr="00D070E3" w:rsidRDefault="00D070E3" w:rsidP="00D070E3">
            <w:pPr>
              <w:ind w:left="256"/>
              <w:rPr>
                <w:rFonts w:ascii="Calibri" w:eastAsia="Calibri" w:hAnsi="Calibri" w:cs="Calibri"/>
                <w:color w:val="313131"/>
                <w:lang w:val="en-US"/>
              </w:rPr>
            </w:pPr>
            <w:r w:rsidRPr="00D070E3">
              <w:rPr>
                <w:rFonts w:ascii="Calibri" w:eastAsia="Calibri" w:hAnsi="Calibri" w:cs="Calibri"/>
                <w:color w:val="313131"/>
                <w:lang w:val="en-US"/>
              </w:rPr>
              <w:t xml:space="preserve">(a) the person engages in conduct; and </w:t>
            </w:r>
          </w:p>
          <w:p w14:paraId="210E4C01" w14:textId="77777777" w:rsidR="00D070E3" w:rsidRPr="00D070E3" w:rsidRDefault="00D070E3" w:rsidP="00D070E3">
            <w:pPr>
              <w:ind w:left="256"/>
              <w:rPr>
                <w:rFonts w:ascii="Calibri" w:eastAsia="Calibri" w:hAnsi="Calibri" w:cs="Calibri"/>
                <w:color w:val="313131"/>
                <w:lang w:val="en-US"/>
              </w:rPr>
            </w:pPr>
            <w:r w:rsidRPr="00D070E3">
              <w:rPr>
                <w:rFonts w:ascii="Calibri" w:eastAsia="Calibri" w:hAnsi="Calibri" w:cs="Calibri"/>
                <w:color w:val="313131"/>
                <w:lang w:val="en-US"/>
              </w:rPr>
              <w:t xml:space="preserve">(b) the conduct occurs during the course of an operation; and </w:t>
            </w:r>
          </w:p>
          <w:p w14:paraId="3C86837A" w14:textId="77777777" w:rsidR="00D070E3" w:rsidRPr="00D070E3" w:rsidRDefault="00D070E3" w:rsidP="00D070E3">
            <w:pPr>
              <w:ind w:left="256"/>
              <w:rPr>
                <w:rFonts w:ascii="Calibri" w:eastAsia="Calibri" w:hAnsi="Calibri" w:cs="Calibri"/>
                <w:color w:val="313131"/>
                <w:lang w:val="en-US"/>
              </w:rPr>
            </w:pPr>
            <w:r w:rsidRPr="00D070E3">
              <w:rPr>
                <w:rFonts w:ascii="Calibri" w:eastAsia="Calibri" w:hAnsi="Calibri" w:cs="Calibri"/>
                <w:color w:val="313131"/>
                <w:lang w:val="en-US"/>
              </w:rPr>
              <w:t xml:space="preserve">(c) the operation is authorised under this Act; and </w:t>
            </w:r>
          </w:p>
          <w:p w14:paraId="0F6EB33E" w14:textId="77777777" w:rsidR="00D070E3" w:rsidRPr="00D070E3" w:rsidRDefault="00D070E3" w:rsidP="00D070E3">
            <w:pPr>
              <w:ind w:left="256"/>
              <w:rPr>
                <w:rFonts w:ascii="Calibri" w:eastAsia="Calibri" w:hAnsi="Calibri" w:cs="Calibri"/>
                <w:color w:val="313131"/>
                <w:lang w:val="en-US"/>
              </w:rPr>
            </w:pPr>
            <w:r w:rsidRPr="00D070E3">
              <w:rPr>
                <w:rFonts w:ascii="Calibri" w:eastAsia="Calibri" w:hAnsi="Calibri" w:cs="Calibri"/>
                <w:color w:val="313131"/>
                <w:lang w:val="en-US"/>
              </w:rPr>
              <w:t xml:space="preserve">(d) the conduct results in environmental harm. </w:t>
            </w:r>
          </w:p>
          <w:p w14:paraId="02C28A61" w14:textId="77777777" w:rsidR="006A3DAD" w:rsidRDefault="006A3DAD" w:rsidP="00D070E3">
            <w:pPr>
              <w:rPr>
                <w:rFonts w:ascii="Calibri" w:eastAsia="Calibri" w:hAnsi="Calibri" w:cs="Calibri"/>
                <w:color w:val="313131"/>
                <w:lang w:val="en-US"/>
              </w:rPr>
            </w:pPr>
          </w:p>
          <w:p w14:paraId="4BD12149" w14:textId="77777777" w:rsidR="006C2963" w:rsidRDefault="00D070E3" w:rsidP="00D070E3">
            <w:pPr>
              <w:rPr>
                <w:rFonts w:ascii="Calibri" w:eastAsia="Calibri" w:hAnsi="Calibri" w:cs="Calibri"/>
                <w:color w:val="313131"/>
                <w:lang w:val="en-US"/>
              </w:rPr>
            </w:pPr>
            <w:r w:rsidRPr="00D070E3">
              <w:rPr>
                <w:rFonts w:ascii="Calibri" w:eastAsia="Calibri" w:hAnsi="Calibri" w:cs="Calibri"/>
                <w:color w:val="313131"/>
                <w:lang w:val="en-US"/>
              </w:rPr>
              <w:t>Maximum penalty: 130 penalty units.</w:t>
            </w:r>
          </w:p>
          <w:p w14:paraId="087E4CC0" w14:textId="77777777" w:rsidR="006A3DAD" w:rsidRDefault="006A3DAD" w:rsidP="00D070E3">
            <w:pPr>
              <w:rPr>
                <w:rFonts w:ascii="Calibri" w:eastAsia="Calibri" w:hAnsi="Calibri" w:cs="Calibri"/>
                <w:color w:val="313131"/>
                <w:lang w:val="en-US"/>
              </w:rPr>
            </w:pPr>
          </w:p>
          <w:p w14:paraId="49075699" w14:textId="77777777" w:rsidR="006A3DAD" w:rsidRPr="006A3DAD" w:rsidRDefault="006A3DAD" w:rsidP="006A3DAD">
            <w:pPr>
              <w:rPr>
                <w:rFonts w:ascii="Calibri" w:eastAsia="Calibri" w:hAnsi="Calibri" w:cs="Calibri"/>
                <w:color w:val="313131"/>
                <w:lang w:val="en-US"/>
              </w:rPr>
            </w:pPr>
            <w:r w:rsidRPr="006A3DAD">
              <w:rPr>
                <w:rFonts w:ascii="Calibri" w:eastAsia="Calibri" w:hAnsi="Calibri" w:cs="Calibri"/>
                <w:color w:val="313131"/>
                <w:lang w:val="en-US"/>
              </w:rPr>
              <w:t xml:space="preserve">(8) An offence against subsection (5), (6) or (7) is an offence of strict liability. </w:t>
            </w:r>
          </w:p>
          <w:p w14:paraId="5460C2F2" w14:textId="77777777" w:rsidR="006A3DAD" w:rsidRPr="006A3DAD" w:rsidRDefault="006A3DAD" w:rsidP="006A3DAD">
            <w:pPr>
              <w:rPr>
                <w:rFonts w:ascii="Calibri" w:eastAsia="Calibri" w:hAnsi="Calibri" w:cs="Calibri"/>
                <w:color w:val="313131"/>
                <w:lang w:val="en-US"/>
              </w:rPr>
            </w:pPr>
          </w:p>
          <w:p w14:paraId="3991FAC8" w14:textId="77777777" w:rsidR="006A3DAD" w:rsidRPr="006A3DAD" w:rsidRDefault="006A3DAD" w:rsidP="006A3DAD">
            <w:pPr>
              <w:rPr>
                <w:rFonts w:ascii="Calibri" w:eastAsia="Calibri" w:hAnsi="Calibri" w:cs="Calibri"/>
                <w:color w:val="313131"/>
                <w:lang w:val="en-US"/>
              </w:rPr>
            </w:pPr>
            <w:r w:rsidRPr="006A3DAD">
              <w:rPr>
                <w:rFonts w:ascii="Calibri" w:eastAsia="Calibri" w:hAnsi="Calibri" w:cs="Calibri"/>
                <w:color w:val="313131"/>
                <w:lang w:val="en-US"/>
              </w:rPr>
              <w:t xml:space="preserve">(9) It is a defence to a prosecution for an offence against subsection (1), (3), (5), (6) or (7) if the defendant took reasonable steps and exercised due diligence to prevent the commission of the offence. </w:t>
            </w:r>
          </w:p>
          <w:p w14:paraId="3752ECD1" w14:textId="77777777" w:rsidR="006A3DAD" w:rsidRPr="006A3DAD" w:rsidRDefault="006A3DAD" w:rsidP="006A3DAD">
            <w:pPr>
              <w:rPr>
                <w:rFonts w:ascii="Calibri" w:eastAsia="Calibri" w:hAnsi="Calibri" w:cs="Calibri"/>
                <w:color w:val="313131"/>
                <w:lang w:val="en-US"/>
              </w:rPr>
            </w:pPr>
          </w:p>
          <w:p w14:paraId="3670AE21" w14:textId="77777777" w:rsidR="006A3DAD" w:rsidRPr="006A3DAD" w:rsidRDefault="006A3DAD" w:rsidP="006A3DAD">
            <w:pPr>
              <w:rPr>
                <w:rFonts w:ascii="Calibri" w:eastAsia="Calibri" w:hAnsi="Calibri" w:cs="Calibri"/>
                <w:color w:val="313131"/>
                <w:lang w:val="en-US"/>
              </w:rPr>
            </w:pPr>
            <w:r w:rsidRPr="006A3DAD">
              <w:rPr>
                <w:rFonts w:ascii="Calibri" w:eastAsia="Calibri" w:hAnsi="Calibri" w:cs="Calibri"/>
                <w:color w:val="313131"/>
                <w:lang w:val="en-US"/>
              </w:rPr>
              <w:t>(10) The defendant has the legal burden of proof in relation to a matter mentioned in subsection (9).</w:t>
            </w:r>
          </w:p>
          <w:p w14:paraId="29C9516F" w14:textId="3B5E946B" w:rsidR="006A3DAD" w:rsidRPr="00AF537E" w:rsidRDefault="006A3DAD" w:rsidP="006A3DAD">
            <w:pPr>
              <w:rPr>
                <w:rFonts w:ascii="Calibri" w:eastAsia="Calibri" w:hAnsi="Calibri" w:cs="Calibri"/>
                <w:b/>
                <w:bCs/>
                <w:color w:val="313131"/>
                <w:u w:val="single"/>
                <w:lang w:val="en-US"/>
              </w:rPr>
            </w:pPr>
          </w:p>
        </w:tc>
        <w:tc>
          <w:tcPr>
            <w:tcW w:w="5310" w:type="dxa"/>
            <w:shd w:val="clear" w:color="auto" w:fill="E2EFD9" w:themeFill="accent6" w:themeFillTint="33"/>
          </w:tcPr>
          <w:p w14:paraId="2B45E618" w14:textId="53CA7E59" w:rsidR="00170451" w:rsidRDefault="00755773" w:rsidP="00472715">
            <w:pPr>
              <w:spacing w:before="120"/>
              <w:rPr>
                <w:rFonts w:cstheme="minorHAnsi"/>
              </w:rPr>
            </w:pPr>
            <w:r>
              <w:rPr>
                <w:rFonts w:cstheme="minorHAnsi"/>
              </w:rPr>
              <w:t xml:space="preserve">This recommendation has been implemented. </w:t>
            </w:r>
            <w:r w:rsidR="00AF2C26">
              <w:rPr>
                <w:rFonts w:cstheme="minorHAnsi"/>
              </w:rPr>
              <w:t xml:space="preserve">The </w:t>
            </w:r>
            <w:r w:rsidR="00AF2C26" w:rsidRPr="00181875">
              <w:rPr>
                <w:rFonts w:cstheme="minorHAnsi"/>
                <w:i/>
                <w:iCs/>
              </w:rPr>
              <w:t>Petroleum Act 1984</w:t>
            </w:r>
            <w:r w:rsidR="00AF2C26">
              <w:rPr>
                <w:rFonts w:cstheme="minorHAnsi"/>
              </w:rPr>
              <w:t xml:space="preserve"> now makes it a strict liability offence for the defendant to engage in conduct during the course of </w:t>
            </w:r>
            <w:r w:rsidR="00626523">
              <w:rPr>
                <w:rFonts w:cstheme="minorHAnsi"/>
              </w:rPr>
              <w:t>a licensed activity that results in environmental harm. Strict liability</w:t>
            </w:r>
            <w:r w:rsidR="00B46BEA">
              <w:rPr>
                <w:rFonts w:cstheme="minorHAnsi"/>
              </w:rPr>
              <w:t xml:space="preserve"> offences</w:t>
            </w:r>
            <w:r w:rsidR="00626523">
              <w:rPr>
                <w:rFonts w:cstheme="minorHAnsi"/>
              </w:rPr>
              <w:t xml:space="preserve"> do not require a showing of fault.</w:t>
            </w:r>
          </w:p>
        </w:tc>
      </w:tr>
      <w:tr w:rsidR="00EA3C33" w:rsidRPr="00520C23" w14:paraId="52D0F214" w14:textId="77777777" w:rsidTr="00EA3C33">
        <w:tc>
          <w:tcPr>
            <w:tcW w:w="846" w:type="dxa"/>
            <w:shd w:val="clear" w:color="auto" w:fill="auto"/>
          </w:tcPr>
          <w:p w14:paraId="2F8C1085" w14:textId="5A3A68BD" w:rsidR="00472715" w:rsidRPr="00520C23" w:rsidRDefault="00472715" w:rsidP="00472715">
            <w:pPr>
              <w:spacing w:before="120"/>
              <w:jc w:val="center"/>
              <w:rPr>
                <w:rFonts w:cstheme="minorHAnsi"/>
              </w:rPr>
            </w:pPr>
            <w:r>
              <w:rPr>
                <w:rFonts w:cstheme="minorHAnsi"/>
              </w:rPr>
              <w:t>14.33</w:t>
            </w:r>
          </w:p>
        </w:tc>
        <w:tc>
          <w:tcPr>
            <w:tcW w:w="4819" w:type="dxa"/>
            <w:shd w:val="clear" w:color="auto" w:fill="FFFFFF" w:themeFill="background1"/>
          </w:tcPr>
          <w:p w14:paraId="2B629157" w14:textId="2D577391" w:rsidR="00472715" w:rsidRPr="00520C23" w:rsidRDefault="00472715" w:rsidP="00472715">
            <w:pPr>
              <w:spacing w:before="120"/>
              <w:rPr>
                <w:rFonts w:cstheme="minorHAnsi"/>
                <w:i/>
                <w:iCs/>
              </w:rPr>
            </w:pPr>
            <w:r w:rsidRPr="00A53E84">
              <w:rPr>
                <w:rFonts w:cstheme="minorHAnsi"/>
                <w:i/>
                <w:iCs/>
              </w:rPr>
              <w:t>That prior to the grant of any further production approvals, criminal penalties for environmental harm under the Petroleum Act and Petroleum Environment Regulations be reviewed and increased in line with world-leading practice.</w:t>
            </w:r>
          </w:p>
        </w:tc>
        <w:tc>
          <w:tcPr>
            <w:tcW w:w="5760" w:type="dxa"/>
            <w:shd w:val="clear" w:color="auto" w:fill="FFFFFF" w:themeFill="background1"/>
          </w:tcPr>
          <w:p w14:paraId="264D7D44" w14:textId="77777777" w:rsidR="00472715" w:rsidRPr="00A53E84" w:rsidRDefault="00472715" w:rsidP="00472715">
            <w:pPr>
              <w:spacing w:before="120"/>
              <w:rPr>
                <w:rFonts w:ascii="Calibri" w:eastAsia="Calibri" w:hAnsi="Calibri" w:cs="Calibri"/>
                <w:color w:val="313131"/>
                <w:lang w:val="en-US"/>
              </w:rPr>
            </w:pPr>
            <w:r w:rsidRPr="00A53E84">
              <w:rPr>
                <w:rFonts w:ascii="Calibri" w:eastAsia="Calibri" w:hAnsi="Calibri" w:cs="Calibri"/>
                <w:color w:val="313131"/>
                <w:lang w:val="en-US"/>
              </w:rPr>
              <w:t>The Petroleum Legislation Amendment Bill 2022 was introduced in the Legislative Assembly on 12 October 2022, passed on 1 December 2022 and assented to on 16 December 2022. Refer to </w:t>
            </w:r>
            <w:hyperlink r:id="rId109" w:history="1">
              <w:r w:rsidRPr="00A53E84">
                <w:rPr>
                  <w:rStyle w:val="Hyperlink"/>
                  <w:rFonts w:ascii="Calibri" w:eastAsia="Calibri" w:hAnsi="Calibri" w:cs="Calibri"/>
                  <w:lang w:val="en-US"/>
                </w:rPr>
                <w:t>Special Gazette S64 PDF (182.5 KB)</w:t>
              </w:r>
            </w:hyperlink>
            <w:r w:rsidRPr="00A53E84">
              <w:rPr>
                <w:rFonts w:ascii="Calibri" w:eastAsia="Calibri" w:hAnsi="Calibri" w:cs="Calibri"/>
                <w:color w:val="313131"/>
                <w:lang w:val="en-US"/>
              </w:rPr>
              <w:t> published on 19 December 2022.</w:t>
            </w:r>
          </w:p>
          <w:p w14:paraId="05CB6B01" w14:textId="77777777" w:rsidR="00472715" w:rsidRPr="00A53E84" w:rsidRDefault="00472715" w:rsidP="00472715">
            <w:pPr>
              <w:spacing w:before="120"/>
              <w:rPr>
                <w:rFonts w:ascii="Calibri" w:eastAsia="Calibri" w:hAnsi="Calibri" w:cs="Calibri"/>
                <w:color w:val="313131"/>
                <w:lang w:val="en-US"/>
              </w:rPr>
            </w:pPr>
            <w:r w:rsidRPr="00A53E84">
              <w:rPr>
                <w:rFonts w:ascii="Calibri" w:eastAsia="Calibri" w:hAnsi="Calibri" w:cs="Calibri"/>
                <w:color w:val="313131"/>
                <w:lang w:val="en-US"/>
              </w:rPr>
              <w:t>Amendments to the </w:t>
            </w:r>
            <w:r w:rsidRPr="00A53E84">
              <w:rPr>
                <w:rFonts w:ascii="Calibri" w:eastAsia="Calibri" w:hAnsi="Calibri" w:cs="Calibri"/>
                <w:i/>
                <w:iCs/>
                <w:color w:val="313131"/>
                <w:lang w:val="en-US"/>
              </w:rPr>
              <w:t>Petroleum Act </w:t>
            </w:r>
            <w:r w:rsidRPr="00A53E84">
              <w:rPr>
                <w:rFonts w:ascii="Calibri" w:eastAsia="Calibri" w:hAnsi="Calibri" w:cs="Calibri"/>
                <w:color w:val="313131"/>
                <w:lang w:val="en-US"/>
              </w:rPr>
              <w:t>and </w:t>
            </w:r>
            <w:r w:rsidRPr="00A53E84">
              <w:rPr>
                <w:rFonts w:ascii="Calibri" w:eastAsia="Calibri" w:hAnsi="Calibri" w:cs="Calibri"/>
                <w:i/>
                <w:iCs/>
                <w:color w:val="313131"/>
                <w:lang w:val="en-US"/>
              </w:rPr>
              <w:t>Petroleum (Environment) Regulations 2016 </w:t>
            </w:r>
            <w:r w:rsidRPr="00A53E84">
              <w:rPr>
                <w:rFonts w:ascii="Calibri" w:eastAsia="Calibri" w:hAnsi="Calibri" w:cs="Calibri"/>
                <w:color w:val="313131"/>
                <w:lang w:val="en-US"/>
              </w:rPr>
              <w:t>will result in the conversion of all offences to become compliant with Part IIAA of the </w:t>
            </w:r>
            <w:r w:rsidRPr="00A53E84">
              <w:rPr>
                <w:rFonts w:ascii="Calibri" w:eastAsia="Calibri" w:hAnsi="Calibri" w:cs="Calibri"/>
                <w:i/>
                <w:iCs/>
                <w:color w:val="313131"/>
                <w:lang w:val="en-US"/>
              </w:rPr>
              <w:t>Criminal Code Act 1993</w:t>
            </w:r>
            <w:r w:rsidRPr="00A53E84">
              <w:rPr>
                <w:rFonts w:ascii="Calibri" w:eastAsia="Calibri" w:hAnsi="Calibri" w:cs="Calibri"/>
                <w:color w:val="313131"/>
                <w:lang w:val="en-US"/>
              </w:rPr>
              <w:t>, significantly increase nearly all penalties and introduce new offences</w:t>
            </w:r>
            <w:r w:rsidRPr="00A53E84">
              <w:rPr>
                <w:rFonts w:ascii="Calibri" w:eastAsia="Calibri" w:hAnsi="Calibri" w:cs="Calibri"/>
                <w:i/>
                <w:iCs/>
                <w:color w:val="313131"/>
                <w:lang w:val="en-US"/>
              </w:rPr>
              <w:t>.</w:t>
            </w:r>
          </w:p>
          <w:p w14:paraId="67D4BBE9" w14:textId="77777777" w:rsidR="00472715" w:rsidRPr="00A53E84" w:rsidRDefault="00472715" w:rsidP="00472715">
            <w:pPr>
              <w:spacing w:before="120"/>
              <w:rPr>
                <w:rFonts w:ascii="Calibri" w:eastAsia="Calibri" w:hAnsi="Calibri" w:cs="Calibri"/>
                <w:color w:val="313131"/>
                <w:lang w:val="en-US"/>
              </w:rPr>
            </w:pPr>
            <w:r w:rsidRPr="00A53E84">
              <w:rPr>
                <w:rFonts w:ascii="Calibri" w:eastAsia="Calibri" w:hAnsi="Calibri" w:cs="Calibri"/>
                <w:color w:val="313131"/>
                <w:lang w:val="en-US"/>
              </w:rPr>
              <w:t>This approach creates consistency across the Territory’s statute book and provides clarity of the individual elements of each offence. It has also enabled a tiered structure for offences, meaning more serious offences require the prosecution to prove fault elements, whereas less serious, strict liability offences do not.</w:t>
            </w:r>
          </w:p>
          <w:p w14:paraId="6B73AAFA" w14:textId="77777777" w:rsidR="00472715" w:rsidRDefault="00472715" w:rsidP="00472715">
            <w:pPr>
              <w:spacing w:before="120"/>
              <w:rPr>
                <w:rFonts w:ascii="Calibri" w:eastAsia="Calibri" w:hAnsi="Calibri" w:cs="Calibri"/>
                <w:color w:val="313131"/>
                <w:lang w:val="en-US"/>
              </w:rPr>
            </w:pPr>
            <w:r w:rsidRPr="00A53E84">
              <w:rPr>
                <w:rFonts w:ascii="Calibri" w:eastAsia="Calibri" w:hAnsi="Calibri" w:cs="Calibri"/>
                <w:color w:val="313131"/>
                <w:lang w:val="en-US"/>
              </w:rPr>
              <w:lastRenderedPageBreak/>
              <w:t>Revised penalty amounts have been informed by multiple pieces of legislation, spanning petroleum, mining and environmental law, including the Territory’s </w:t>
            </w:r>
            <w:r w:rsidRPr="00A53E84">
              <w:rPr>
                <w:rFonts w:ascii="Calibri" w:eastAsia="Calibri" w:hAnsi="Calibri" w:cs="Calibri"/>
                <w:i/>
                <w:iCs/>
                <w:color w:val="313131"/>
                <w:lang w:val="en-US"/>
              </w:rPr>
              <w:t>Environment Protection Act 2019</w:t>
            </w:r>
            <w:r w:rsidRPr="00A53E84">
              <w:rPr>
                <w:rFonts w:ascii="Calibri" w:eastAsia="Calibri" w:hAnsi="Calibri" w:cs="Calibri"/>
                <w:color w:val="313131"/>
                <w:lang w:val="en-US"/>
              </w:rPr>
              <w:t>. New penalty amounts are now either comparable with or exceed equivalent penalties across all Australian jurisdictions.</w:t>
            </w:r>
          </w:p>
          <w:p w14:paraId="0805903B" w14:textId="77777777" w:rsidR="00472715" w:rsidRPr="00A53E84" w:rsidRDefault="00472715" w:rsidP="00472715">
            <w:pPr>
              <w:spacing w:before="120"/>
              <w:rPr>
                <w:rFonts w:ascii="Calibri" w:eastAsia="Calibri" w:hAnsi="Calibri" w:cs="Calibri"/>
                <w:color w:val="313131"/>
                <w:lang w:val="en-US"/>
              </w:rPr>
            </w:pPr>
            <w:r w:rsidRPr="00A53E84">
              <w:rPr>
                <w:rFonts w:ascii="Calibri" w:eastAsia="Calibri" w:hAnsi="Calibri" w:cs="Calibri"/>
                <w:color w:val="313131"/>
                <w:lang w:val="en-US"/>
              </w:rPr>
              <w:t>To increase environmental offences in the </w:t>
            </w:r>
            <w:r w:rsidRPr="00A53E84">
              <w:rPr>
                <w:rFonts w:ascii="Calibri" w:eastAsia="Calibri" w:hAnsi="Calibri" w:cs="Calibri"/>
                <w:i/>
                <w:iCs/>
                <w:color w:val="313131"/>
                <w:lang w:val="en-US"/>
              </w:rPr>
              <w:t>Petroleum Act</w:t>
            </w:r>
            <w:r w:rsidRPr="00A53E84">
              <w:rPr>
                <w:rFonts w:ascii="Calibri" w:eastAsia="Calibri" w:hAnsi="Calibri" w:cs="Calibri"/>
                <w:color w:val="313131"/>
                <w:lang w:val="en-US"/>
              </w:rPr>
              <w:t> </w:t>
            </w:r>
            <w:r w:rsidRPr="00A53E84">
              <w:rPr>
                <w:rFonts w:ascii="Calibri" w:eastAsia="Calibri" w:hAnsi="Calibri" w:cs="Calibri"/>
                <w:i/>
                <w:iCs/>
                <w:color w:val="313131"/>
                <w:lang w:val="en-US"/>
              </w:rPr>
              <w:t>1984</w:t>
            </w:r>
            <w:r w:rsidRPr="00A53E84">
              <w:rPr>
                <w:rFonts w:ascii="Calibri" w:eastAsia="Calibri" w:hAnsi="Calibri" w:cs="Calibri"/>
                <w:color w:val="313131"/>
                <w:lang w:val="en-US"/>
              </w:rPr>
              <w:t> a consequential amendment was required to ‘de-link’ the </w:t>
            </w:r>
            <w:r w:rsidRPr="00A53E84">
              <w:rPr>
                <w:rFonts w:ascii="Calibri" w:eastAsia="Calibri" w:hAnsi="Calibri" w:cs="Calibri"/>
                <w:i/>
                <w:iCs/>
                <w:color w:val="313131"/>
                <w:lang w:val="en-US"/>
              </w:rPr>
              <w:t>Petroleum Act</w:t>
            </w:r>
            <w:r w:rsidRPr="00A53E84">
              <w:rPr>
                <w:rFonts w:ascii="Calibri" w:eastAsia="Calibri" w:hAnsi="Calibri" w:cs="Calibri"/>
                <w:color w:val="313131"/>
                <w:lang w:val="en-US"/>
              </w:rPr>
              <w:t> from the </w:t>
            </w:r>
            <w:r w:rsidRPr="00A53E84">
              <w:rPr>
                <w:rFonts w:ascii="Calibri" w:eastAsia="Calibri" w:hAnsi="Calibri" w:cs="Calibri"/>
                <w:i/>
                <w:iCs/>
                <w:color w:val="313131"/>
                <w:lang w:val="en-US"/>
              </w:rPr>
              <w:t>Environmental Offences and Penalties Act.</w:t>
            </w:r>
          </w:p>
          <w:p w14:paraId="587ADF1B" w14:textId="77777777" w:rsidR="00472715" w:rsidRPr="00A53E84" w:rsidRDefault="00472715" w:rsidP="00472715">
            <w:pPr>
              <w:spacing w:before="120"/>
              <w:rPr>
                <w:rFonts w:ascii="Calibri" w:eastAsia="Calibri" w:hAnsi="Calibri" w:cs="Calibri"/>
                <w:color w:val="313131"/>
                <w:lang w:val="en-US"/>
              </w:rPr>
            </w:pPr>
            <w:r w:rsidRPr="00A53E84">
              <w:rPr>
                <w:rFonts w:ascii="Calibri" w:eastAsia="Calibri" w:hAnsi="Calibri" w:cs="Calibri"/>
                <w:color w:val="313131"/>
                <w:lang w:val="en-US"/>
              </w:rPr>
              <w:t>While the Inquiry recommendation references only criminal penalties for environmental harm offences, to provide equity across the petroleum legislation, the bill goes further to increase nearly all penalties in the Act and Regulations.</w:t>
            </w:r>
          </w:p>
          <w:p w14:paraId="6D91DCA7" w14:textId="46D4C418" w:rsidR="00472715" w:rsidRPr="00A53E84" w:rsidRDefault="00472715" w:rsidP="00472715">
            <w:pPr>
              <w:spacing w:before="120"/>
              <w:rPr>
                <w:rFonts w:ascii="Calibri" w:eastAsia="Calibri" w:hAnsi="Calibri" w:cs="Calibri"/>
                <w:color w:val="313131"/>
                <w:lang w:val="en-US"/>
              </w:rPr>
            </w:pPr>
          </w:p>
        </w:tc>
        <w:tc>
          <w:tcPr>
            <w:tcW w:w="5670" w:type="dxa"/>
            <w:shd w:val="clear" w:color="auto" w:fill="FFFFFF" w:themeFill="background1"/>
          </w:tcPr>
          <w:p w14:paraId="4069842D" w14:textId="77777777" w:rsidR="00C50F7F" w:rsidRDefault="00C50F7F" w:rsidP="00472715">
            <w:pPr>
              <w:spacing w:before="120"/>
              <w:rPr>
                <w:rFonts w:ascii="Calibri" w:eastAsia="Calibri" w:hAnsi="Calibri" w:cs="Calibri"/>
                <w:b/>
                <w:bCs/>
                <w:color w:val="313131"/>
                <w:u w:val="single"/>
                <w:lang w:val="en-US"/>
              </w:rPr>
            </w:pPr>
            <w:r w:rsidRPr="00C50F7F">
              <w:rPr>
                <w:rFonts w:ascii="Calibri" w:eastAsia="Calibri" w:hAnsi="Calibri" w:cs="Calibri"/>
                <w:b/>
                <w:bCs/>
                <w:color w:val="313131"/>
                <w:u w:val="single"/>
                <w:lang w:val="en-US"/>
              </w:rPr>
              <w:lastRenderedPageBreak/>
              <w:t xml:space="preserve">Amendment of Petroleum (Environment) Regulations 2016 </w:t>
            </w:r>
          </w:p>
          <w:p w14:paraId="1CBEC600" w14:textId="4A086DCF" w:rsidR="00472715" w:rsidRPr="00EC7080" w:rsidRDefault="00472715" w:rsidP="00472715">
            <w:pPr>
              <w:spacing w:before="120"/>
              <w:rPr>
                <w:rFonts w:ascii="Calibri" w:eastAsia="Calibri" w:hAnsi="Calibri" w:cs="Calibri"/>
                <w:b/>
                <w:bCs/>
                <w:color w:val="313131"/>
                <w:lang w:val="en-US"/>
              </w:rPr>
            </w:pPr>
            <w:r w:rsidRPr="00EC7080">
              <w:rPr>
                <w:rFonts w:ascii="Calibri" w:eastAsia="Calibri" w:hAnsi="Calibri" w:cs="Calibri"/>
                <w:b/>
                <w:bCs/>
                <w:color w:val="313131"/>
                <w:lang w:val="en-US"/>
              </w:rPr>
              <w:t>31 Compliance with current plan</w:t>
            </w:r>
          </w:p>
          <w:p w14:paraId="7BE35139" w14:textId="2759026D" w:rsidR="00472715" w:rsidRDefault="00472715" w:rsidP="00472715">
            <w:pPr>
              <w:spacing w:before="120"/>
              <w:rPr>
                <w:rFonts w:ascii="Calibri" w:eastAsia="Calibri" w:hAnsi="Calibri" w:cs="Calibri"/>
                <w:color w:val="313131"/>
                <w:lang w:val="en-US"/>
              </w:rPr>
            </w:pPr>
            <w:r w:rsidRPr="006E71E8">
              <w:rPr>
                <w:rFonts w:ascii="Calibri" w:eastAsia="Calibri" w:hAnsi="Calibri" w:cs="Calibri"/>
                <w:color w:val="313131"/>
                <w:lang w:val="en-US"/>
              </w:rPr>
              <w:t>(1) A person commits an offence if:</w:t>
            </w:r>
          </w:p>
          <w:p w14:paraId="61A45654" w14:textId="77777777" w:rsidR="00472715" w:rsidRDefault="00472715" w:rsidP="00472715">
            <w:pPr>
              <w:spacing w:before="120"/>
              <w:ind w:left="258"/>
              <w:rPr>
                <w:rFonts w:ascii="Calibri" w:eastAsia="Calibri" w:hAnsi="Calibri" w:cs="Calibri"/>
                <w:color w:val="313131"/>
                <w:lang w:val="en-US"/>
              </w:rPr>
            </w:pPr>
            <w:r w:rsidRPr="006E71E8">
              <w:rPr>
                <w:rFonts w:ascii="Calibri" w:eastAsia="Calibri" w:hAnsi="Calibri" w:cs="Calibri"/>
                <w:color w:val="313131"/>
                <w:lang w:val="en-US"/>
              </w:rPr>
              <w:t>(a) the person intentionally engages in conduct; and</w:t>
            </w:r>
          </w:p>
          <w:p w14:paraId="2647EA62" w14:textId="77777777" w:rsidR="00472715" w:rsidRDefault="00472715" w:rsidP="00472715">
            <w:pPr>
              <w:spacing w:before="120"/>
              <w:ind w:left="258"/>
              <w:rPr>
                <w:rFonts w:ascii="Calibri" w:eastAsia="Calibri" w:hAnsi="Calibri" w:cs="Calibri"/>
                <w:color w:val="313131"/>
                <w:lang w:val="en-US"/>
              </w:rPr>
            </w:pPr>
            <w:r w:rsidRPr="006E71E8">
              <w:rPr>
                <w:rFonts w:ascii="Calibri" w:eastAsia="Calibri" w:hAnsi="Calibri" w:cs="Calibri"/>
                <w:color w:val="313131"/>
                <w:lang w:val="en-US"/>
              </w:rPr>
              <w:t>(b) the conduct is part of carrying out a regulated activity and the person is reckless in relation to that circumstance; and</w:t>
            </w:r>
          </w:p>
          <w:p w14:paraId="56A48C2E" w14:textId="65DE68B0" w:rsidR="00472715" w:rsidRDefault="00472715" w:rsidP="00472715">
            <w:pPr>
              <w:spacing w:before="120"/>
              <w:ind w:left="258"/>
              <w:rPr>
                <w:rFonts w:ascii="Calibri" w:eastAsia="Calibri" w:hAnsi="Calibri" w:cs="Calibri"/>
                <w:color w:val="313131"/>
                <w:lang w:val="en-US"/>
              </w:rPr>
            </w:pPr>
            <w:r w:rsidRPr="006E71E8">
              <w:rPr>
                <w:rFonts w:ascii="Calibri" w:eastAsia="Calibri" w:hAnsi="Calibri" w:cs="Calibri"/>
                <w:color w:val="313131"/>
                <w:lang w:val="en-US"/>
              </w:rPr>
              <w:t>(c)</w:t>
            </w:r>
            <w:r>
              <w:rPr>
                <w:rFonts w:ascii="Calibri" w:eastAsia="Calibri" w:hAnsi="Calibri" w:cs="Calibri"/>
                <w:color w:val="313131"/>
                <w:lang w:val="en-US"/>
              </w:rPr>
              <w:t xml:space="preserve"> </w:t>
            </w:r>
            <w:r w:rsidRPr="006E71E8">
              <w:rPr>
                <w:rFonts w:ascii="Calibri" w:eastAsia="Calibri" w:hAnsi="Calibri" w:cs="Calibri"/>
                <w:color w:val="313131"/>
                <w:lang w:val="en-US"/>
              </w:rPr>
              <w:t xml:space="preserve">the person is the holder of a current plan for the activity; and </w:t>
            </w:r>
          </w:p>
          <w:p w14:paraId="73C12471" w14:textId="21C026EB" w:rsidR="00472715" w:rsidRDefault="00472715" w:rsidP="00472715">
            <w:pPr>
              <w:spacing w:before="120"/>
              <w:ind w:left="258"/>
              <w:rPr>
                <w:rFonts w:ascii="Calibri" w:eastAsia="Calibri" w:hAnsi="Calibri" w:cs="Calibri"/>
                <w:color w:val="313131"/>
                <w:lang w:val="en-US"/>
              </w:rPr>
            </w:pPr>
            <w:r w:rsidRPr="006E71E8">
              <w:rPr>
                <w:rFonts w:ascii="Calibri" w:eastAsia="Calibri" w:hAnsi="Calibri" w:cs="Calibri"/>
                <w:color w:val="313131"/>
                <w:lang w:val="en-US"/>
              </w:rPr>
              <w:t>(d) the conduct results in a contravention of the plan and the person is reckless in relation to that result.</w:t>
            </w:r>
          </w:p>
          <w:p w14:paraId="32439F3E" w14:textId="77777777" w:rsidR="00472715" w:rsidRDefault="00472715" w:rsidP="00472715">
            <w:pPr>
              <w:spacing w:before="120"/>
              <w:rPr>
                <w:rFonts w:ascii="Calibri" w:eastAsia="Calibri" w:hAnsi="Calibri" w:cs="Calibri"/>
                <w:color w:val="313131"/>
                <w:lang w:val="en-US"/>
              </w:rPr>
            </w:pPr>
            <w:r w:rsidRPr="006E71E8">
              <w:rPr>
                <w:rFonts w:ascii="Calibri" w:eastAsia="Calibri" w:hAnsi="Calibri" w:cs="Calibri"/>
                <w:color w:val="313131"/>
                <w:lang w:val="en-US"/>
              </w:rPr>
              <w:t>Maximum penalty:</w:t>
            </w:r>
            <w:r>
              <w:rPr>
                <w:rFonts w:ascii="Calibri" w:eastAsia="Calibri" w:hAnsi="Calibri" w:cs="Calibri"/>
                <w:color w:val="313131"/>
                <w:lang w:val="en-US"/>
              </w:rPr>
              <w:t xml:space="preserve"> </w:t>
            </w:r>
            <w:r w:rsidRPr="006E71E8">
              <w:rPr>
                <w:rFonts w:ascii="Calibri" w:eastAsia="Calibri" w:hAnsi="Calibri" w:cs="Calibri"/>
                <w:color w:val="313131"/>
                <w:lang w:val="en-US"/>
              </w:rPr>
              <w:t>2 000 penalty units.</w:t>
            </w:r>
          </w:p>
          <w:p w14:paraId="05F449A3" w14:textId="34450E33" w:rsidR="00472715" w:rsidRDefault="00472715" w:rsidP="00472715">
            <w:pPr>
              <w:spacing w:before="120"/>
              <w:rPr>
                <w:rFonts w:ascii="Calibri" w:eastAsia="Calibri" w:hAnsi="Calibri" w:cs="Calibri"/>
                <w:color w:val="313131"/>
                <w:lang w:val="en-US"/>
              </w:rPr>
            </w:pPr>
            <w:r w:rsidRPr="00234D24">
              <w:rPr>
                <w:rFonts w:ascii="Calibri" w:eastAsia="Calibri" w:hAnsi="Calibri" w:cs="Calibri"/>
                <w:color w:val="313131"/>
                <w:lang w:val="en-US"/>
              </w:rPr>
              <w:t>(3) A person commits an offence if the perso</w:t>
            </w:r>
            <w:r>
              <w:rPr>
                <w:rFonts w:ascii="Calibri" w:eastAsia="Calibri" w:hAnsi="Calibri" w:cs="Calibri"/>
                <w:color w:val="313131"/>
                <w:lang w:val="en-US"/>
              </w:rPr>
              <w:t>n</w:t>
            </w:r>
            <w:r w:rsidRPr="00234D24">
              <w:rPr>
                <w:rFonts w:ascii="Calibri" w:eastAsia="Calibri" w:hAnsi="Calibri" w:cs="Calibri"/>
                <w:color w:val="313131"/>
                <w:lang w:val="en-US"/>
              </w:rPr>
              <w:t xml:space="preserve"> carries out a regulated activity in a manner which contravenes a current plan.</w:t>
            </w:r>
            <w:r>
              <w:rPr>
                <w:rFonts w:ascii="Calibri" w:eastAsia="Calibri" w:hAnsi="Calibri" w:cs="Calibri"/>
                <w:color w:val="313131"/>
                <w:lang w:val="en-US"/>
              </w:rPr>
              <w:t xml:space="preserve"> </w:t>
            </w:r>
          </w:p>
          <w:p w14:paraId="3D350768" w14:textId="78028185" w:rsidR="00472715" w:rsidRDefault="00472715" w:rsidP="00472715">
            <w:pPr>
              <w:spacing w:before="120"/>
              <w:rPr>
                <w:rFonts w:ascii="Calibri" w:eastAsia="Calibri" w:hAnsi="Calibri" w:cs="Calibri"/>
                <w:color w:val="313131"/>
                <w:lang w:val="en-US"/>
              </w:rPr>
            </w:pPr>
            <w:r w:rsidRPr="00234D24">
              <w:rPr>
                <w:rFonts w:ascii="Calibri" w:eastAsia="Calibri" w:hAnsi="Calibri" w:cs="Calibri"/>
                <w:color w:val="313131"/>
                <w:lang w:val="en-US"/>
              </w:rPr>
              <w:lastRenderedPageBreak/>
              <w:t>Maximum penalty:</w:t>
            </w:r>
            <w:r>
              <w:rPr>
                <w:rFonts w:ascii="Calibri" w:eastAsia="Calibri" w:hAnsi="Calibri" w:cs="Calibri"/>
                <w:color w:val="313131"/>
                <w:lang w:val="en-US"/>
              </w:rPr>
              <w:t xml:space="preserve"> </w:t>
            </w:r>
            <w:r w:rsidRPr="00234D24">
              <w:rPr>
                <w:rFonts w:ascii="Calibri" w:eastAsia="Calibri" w:hAnsi="Calibri" w:cs="Calibri"/>
                <w:color w:val="313131"/>
                <w:lang w:val="en-US"/>
              </w:rPr>
              <w:t>200 penalty units.</w:t>
            </w:r>
          </w:p>
          <w:p w14:paraId="0973E673" w14:textId="77777777" w:rsidR="00472715" w:rsidRDefault="00472715" w:rsidP="00472715">
            <w:pPr>
              <w:spacing w:before="120"/>
              <w:rPr>
                <w:rFonts w:ascii="Calibri" w:eastAsia="Calibri" w:hAnsi="Calibri" w:cs="Calibri"/>
                <w:color w:val="313131"/>
                <w:lang w:val="en-US"/>
              </w:rPr>
            </w:pPr>
            <w:r w:rsidRPr="00234D24">
              <w:rPr>
                <w:rFonts w:ascii="Calibri" w:eastAsia="Calibri" w:hAnsi="Calibri" w:cs="Calibri"/>
                <w:color w:val="313131"/>
                <w:lang w:val="en-US"/>
              </w:rPr>
              <w:t>(4) An offence against subregulation (3) is an offence of strict liability.</w:t>
            </w:r>
          </w:p>
          <w:p w14:paraId="66DF2561" w14:textId="0FB239CA" w:rsidR="00472715" w:rsidRPr="00C50F7F" w:rsidRDefault="0096403F" w:rsidP="00472715">
            <w:pPr>
              <w:spacing w:before="120"/>
              <w:rPr>
                <w:rFonts w:ascii="Calibri" w:eastAsia="Calibri" w:hAnsi="Calibri" w:cs="Calibri"/>
                <w:b/>
                <w:bCs/>
                <w:color w:val="313131"/>
                <w:u w:val="single"/>
                <w:lang w:val="en-US"/>
              </w:rPr>
            </w:pPr>
            <w:r w:rsidRPr="00C50F7F">
              <w:rPr>
                <w:rFonts w:ascii="Calibri" w:eastAsia="Calibri" w:hAnsi="Calibri" w:cs="Calibri"/>
                <w:b/>
                <w:bCs/>
                <w:color w:val="313131"/>
                <w:u w:val="single"/>
                <w:lang w:val="en-US"/>
              </w:rPr>
              <w:t>Amendment of Petroleum Act 1984</w:t>
            </w:r>
          </w:p>
          <w:p w14:paraId="0A23CEA4" w14:textId="77777777" w:rsidR="00472715" w:rsidRDefault="00472715" w:rsidP="00472715">
            <w:pPr>
              <w:spacing w:before="120"/>
              <w:rPr>
                <w:rFonts w:ascii="Calibri" w:eastAsia="Calibri" w:hAnsi="Calibri" w:cs="Calibri"/>
                <w:b/>
                <w:bCs/>
                <w:color w:val="313131"/>
              </w:rPr>
            </w:pPr>
            <w:r w:rsidRPr="003B0DF6">
              <w:rPr>
                <w:rFonts w:ascii="Calibri" w:eastAsia="Calibri" w:hAnsi="Calibri" w:cs="Calibri"/>
                <w:b/>
                <w:bCs/>
                <w:color w:val="313131"/>
              </w:rPr>
              <w:t>117AAB Environmental offences</w:t>
            </w:r>
          </w:p>
          <w:p w14:paraId="247184F8" w14:textId="77777777" w:rsidR="00472715" w:rsidRPr="00C52143" w:rsidRDefault="00472715" w:rsidP="00472715">
            <w:pPr>
              <w:spacing w:before="120"/>
              <w:rPr>
                <w:rFonts w:ascii="Calibri" w:eastAsia="Calibri" w:hAnsi="Calibri" w:cs="Calibri"/>
                <w:color w:val="313131"/>
              </w:rPr>
            </w:pPr>
            <w:r w:rsidRPr="00C52143">
              <w:rPr>
                <w:rFonts w:ascii="Calibri" w:eastAsia="Calibri" w:hAnsi="Calibri" w:cs="Calibri"/>
                <w:color w:val="313131"/>
              </w:rPr>
              <w:t>(1) A person commits an offence if:</w:t>
            </w:r>
          </w:p>
          <w:p w14:paraId="1EDD898E" w14:textId="77777777" w:rsidR="00472715" w:rsidRPr="00C52143" w:rsidRDefault="00472715" w:rsidP="00472715">
            <w:pPr>
              <w:spacing w:before="120"/>
              <w:ind w:left="258"/>
              <w:rPr>
                <w:rFonts w:ascii="Calibri" w:eastAsia="Calibri" w:hAnsi="Calibri" w:cs="Calibri"/>
                <w:color w:val="313131"/>
              </w:rPr>
            </w:pPr>
            <w:r w:rsidRPr="00C52143">
              <w:rPr>
                <w:rFonts w:ascii="Calibri" w:eastAsia="Calibri" w:hAnsi="Calibri" w:cs="Calibri"/>
                <w:color w:val="313131"/>
              </w:rPr>
              <w:t>(a) the person intentionally engages in conduct; and</w:t>
            </w:r>
          </w:p>
          <w:p w14:paraId="2FD80D01" w14:textId="77777777" w:rsidR="00472715" w:rsidRPr="00C52143" w:rsidRDefault="00472715" w:rsidP="00472715">
            <w:pPr>
              <w:spacing w:before="120"/>
              <w:ind w:left="258"/>
              <w:rPr>
                <w:rFonts w:ascii="Calibri" w:eastAsia="Calibri" w:hAnsi="Calibri" w:cs="Calibri"/>
                <w:color w:val="313131"/>
              </w:rPr>
            </w:pPr>
            <w:r w:rsidRPr="00C52143">
              <w:rPr>
                <w:rFonts w:ascii="Calibri" w:eastAsia="Calibri" w:hAnsi="Calibri" w:cs="Calibri"/>
                <w:color w:val="313131"/>
              </w:rPr>
              <w:t>(b) the conduct occurs during the course of an operation; and</w:t>
            </w:r>
          </w:p>
          <w:p w14:paraId="3CC6B309" w14:textId="3CCE258B" w:rsidR="00472715" w:rsidRPr="00C52143" w:rsidRDefault="00472715" w:rsidP="00472715">
            <w:pPr>
              <w:spacing w:before="120"/>
              <w:ind w:left="258"/>
              <w:rPr>
                <w:rFonts w:ascii="Calibri" w:eastAsia="Calibri" w:hAnsi="Calibri" w:cs="Calibri"/>
                <w:color w:val="313131"/>
              </w:rPr>
            </w:pPr>
            <w:r w:rsidRPr="00C52143">
              <w:rPr>
                <w:rFonts w:ascii="Calibri" w:eastAsia="Calibri" w:hAnsi="Calibri" w:cs="Calibri"/>
                <w:color w:val="313131"/>
              </w:rPr>
              <w:t>(c)</w:t>
            </w:r>
            <w:r w:rsidR="00040610">
              <w:rPr>
                <w:rFonts w:ascii="Calibri" w:eastAsia="Calibri" w:hAnsi="Calibri" w:cs="Calibri"/>
                <w:color w:val="313131"/>
              </w:rPr>
              <w:t xml:space="preserve"> </w:t>
            </w:r>
            <w:r w:rsidRPr="00C52143">
              <w:rPr>
                <w:rFonts w:ascii="Calibri" w:eastAsia="Calibri" w:hAnsi="Calibri" w:cs="Calibri"/>
                <w:color w:val="313131"/>
              </w:rPr>
              <w:t>the operation is authorised under this Act; and</w:t>
            </w:r>
          </w:p>
          <w:p w14:paraId="36C3FC82" w14:textId="4313EC72" w:rsidR="00472715" w:rsidRPr="00C52143" w:rsidRDefault="00472715" w:rsidP="00472715">
            <w:pPr>
              <w:spacing w:before="120"/>
              <w:ind w:left="258"/>
              <w:rPr>
                <w:rFonts w:ascii="Calibri" w:eastAsia="Calibri" w:hAnsi="Calibri" w:cs="Calibri"/>
                <w:color w:val="313131"/>
              </w:rPr>
            </w:pPr>
            <w:r w:rsidRPr="00C52143">
              <w:rPr>
                <w:rFonts w:ascii="Calibri" w:eastAsia="Calibri" w:hAnsi="Calibri" w:cs="Calibri"/>
                <w:color w:val="313131"/>
              </w:rPr>
              <w:t>(d) the conduct results in significant environmental harm and the person is reckless in relation to that result.</w:t>
            </w:r>
          </w:p>
          <w:p w14:paraId="0F26C07F" w14:textId="76724891" w:rsidR="00472715" w:rsidRPr="00C52143" w:rsidRDefault="00472715" w:rsidP="00472715">
            <w:pPr>
              <w:spacing w:before="120"/>
              <w:rPr>
                <w:rFonts w:ascii="Calibri" w:eastAsia="Calibri" w:hAnsi="Calibri" w:cs="Calibri"/>
                <w:color w:val="313131"/>
              </w:rPr>
            </w:pPr>
            <w:r w:rsidRPr="00C52143">
              <w:rPr>
                <w:rFonts w:ascii="Calibri" w:eastAsia="Calibri" w:hAnsi="Calibri" w:cs="Calibri"/>
                <w:color w:val="313131"/>
              </w:rPr>
              <w:t>Maximum penalty: 6 500 penalty units or imprisonment for 5 years.</w:t>
            </w:r>
          </w:p>
          <w:p w14:paraId="155A9FE4" w14:textId="77777777" w:rsidR="00472715" w:rsidRDefault="00472715" w:rsidP="00472715">
            <w:pPr>
              <w:spacing w:before="120"/>
              <w:rPr>
                <w:rFonts w:ascii="Calibri" w:eastAsia="Calibri" w:hAnsi="Calibri" w:cs="Calibri"/>
                <w:color w:val="313131"/>
              </w:rPr>
            </w:pPr>
            <w:r w:rsidRPr="00C52143">
              <w:rPr>
                <w:rFonts w:ascii="Calibri" w:eastAsia="Calibri" w:hAnsi="Calibri" w:cs="Calibri"/>
                <w:color w:val="313131"/>
              </w:rPr>
              <w:t>Minimum penalty:</w:t>
            </w:r>
            <w:r>
              <w:rPr>
                <w:rFonts w:ascii="Calibri" w:eastAsia="Calibri" w:hAnsi="Calibri" w:cs="Calibri"/>
                <w:color w:val="313131"/>
              </w:rPr>
              <w:t xml:space="preserve"> </w:t>
            </w:r>
            <w:r w:rsidRPr="00C52143">
              <w:rPr>
                <w:rFonts w:ascii="Calibri" w:eastAsia="Calibri" w:hAnsi="Calibri" w:cs="Calibri"/>
                <w:color w:val="313131"/>
              </w:rPr>
              <w:t>650 penalty units.</w:t>
            </w:r>
          </w:p>
          <w:p w14:paraId="7F6E73F8" w14:textId="544FD2E6" w:rsidR="00472715" w:rsidRPr="00A53E84" w:rsidRDefault="00472715" w:rsidP="00472715">
            <w:pPr>
              <w:spacing w:before="120"/>
              <w:rPr>
                <w:rFonts w:ascii="Calibri" w:eastAsia="Calibri" w:hAnsi="Calibri" w:cs="Calibri"/>
                <w:color w:val="313131"/>
                <w:lang w:val="en-US"/>
              </w:rPr>
            </w:pPr>
          </w:p>
        </w:tc>
        <w:tc>
          <w:tcPr>
            <w:tcW w:w="5310" w:type="dxa"/>
            <w:shd w:val="clear" w:color="auto" w:fill="E2EFD9" w:themeFill="accent6" w:themeFillTint="33"/>
          </w:tcPr>
          <w:p w14:paraId="535E044D" w14:textId="4AFE99EF" w:rsidR="00472715" w:rsidRDefault="00472715" w:rsidP="00472715">
            <w:pPr>
              <w:spacing w:before="120"/>
              <w:rPr>
                <w:rFonts w:cstheme="minorHAnsi"/>
              </w:rPr>
            </w:pPr>
            <w:r>
              <w:rPr>
                <w:rFonts w:cstheme="minorHAnsi"/>
              </w:rPr>
              <w:lastRenderedPageBreak/>
              <w:t xml:space="preserve">This recommendation has likely been fully implemented, but it is arguable that the degree of increase in penalties may not be in line with “world-leading practice,” as the recommendation requires.  </w:t>
            </w:r>
          </w:p>
          <w:p w14:paraId="2C333EF3" w14:textId="614823BA" w:rsidR="00472715" w:rsidRDefault="00472715" w:rsidP="00472715">
            <w:pPr>
              <w:spacing w:before="120"/>
              <w:rPr>
                <w:rFonts w:cstheme="minorHAnsi"/>
              </w:rPr>
            </w:pPr>
            <w:r>
              <w:rPr>
                <w:rFonts w:cstheme="minorHAnsi"/>
              </w:rPr>
              <w:t xml:space="preserve">For example, the Pepper Report notes that non-compliance with an EMP used to have a maximum penalty of $30,800. The current maximum penalty for this offense, per Section 31 of the Petroleum Legislation Amendment Bill 2022 and the </w:t>
            </w:r>
            <w:hyperlink r:id="rId110" w:anchor=":~:text=Some%20amounts%20of%20money%20in,to%20work%20out%20each%20fine." w:history="1">
              <w:r w:rsidRPr="00EC7080">
                <w:rPr>
                  <w:rStyle w:val="Hyperlink"/>
                  <w:rFonts w:cstheme="minorHAnsi"/>
                </w:rPr>
                <w:t>value of a penalty unit</w:t>
              </w:r>
            </w:hyperlink>
            <w:r>
              <w:rPr>
                <w:rFonts w:cstheme="minorHAnsi"/>
              </w:rPr>
              <w:t xml:space="preserve"> in the NT of $162, is $32,400. This increase is quite slight.</w:t>
            </w:r>
          </w:p>
          <w:p w14:paraId="4B63E83B" w14:textId="398FBA4C" w:rsidR="00472715" w:rsidRDefault="00472715" w:rsidP="00472715">
            <w:pPr>
              <w:spacing w:before="120"/>
              <w:rPr>
                <w:rFonts w:cstheme="minorHAnsi"/>
              </w:rPr>
            </w:pPr>
            <w:r>
              <w:rPr>
                <w:rFonts w:cstheme="minorHAnsi"/>
              </w:rPr>
              <w:t>By contrast, whereas the Pepper Report notes that, at the time of its publication, the most serious environmental offence in the Petroleum Act had a penalty of $592,900 or five years of imprisonment for an individual, the maximum penalty is now $</w:t>
            </w:r>
            <w:r w:rsidRPr="00DE09DD">
              <w:rPr>
                <w:rFonts w:cstheme="minorHAnsi"/>
              </w:rPr>
              <w:t>1,053,000</w:t>
            </w:r>
            <w:r>
              <w:rPr>
                <w:rFonts w:cstheme="minorHAnsi"/>
              </w:rPr>
              <w:t xml:space="preserve"> under Section 117AAB.</w:t>
            </w:r>
          </w:p>
        </w:tc>
      </w:tr>
      <w:tr w:rsidR="00EA3C33" w:rsidRPr="00520C23" w14:paraId="5DA7EC6F" w14:textId="002509D4" w:rsidTr="00EA3C33">
        <w:tc>
          <w:tcPr>
            <w:tcW w:w="846" w:type="dxa"/>
            <w:shd w:val="clear" w:color="auto" w:fill="auto"/>
          </w:tcPr>
          <w:p w14:paraId="07ACA453" w14:textId="77777777" w:rsidR="00472715" w:rsidRPr="00520C23" w:rsidRDefault="00472715" w:rsidP="00472715">
            <w:pPr>
              <w:spacing w:before="120"/>
              <w:jc w:val="center"/>
              <w:rPr>
                <w:rFonts w:cstheme="minorHAnsi"/>
              </w:rPr>
            </w:pPr>
            <w:r w:rsidRPr="00520C23">
              <w:rPr>
                <w:rFonts w:cstheme="minorHAnsi"/>
              </w:rPr>
              <w:t>14.34</w:t>
            </w:r>
          </w:p>
        </w:tc>
        <w:tc>
          <w:tcPr>
            <w:tcW w:w="4819" w:type="dxa"/>
            <w:shd w:val="clear" w:color="auto" w:fill="auto"/>
          </w:tcPr>
          <w:p w14:paraId="4940FFF3" w14:textId="7693E9DD" w:rsidR="00472715" w:rsidRPr="00520C23" w:rsidRDefault="00472715" w:rsidP="00472715">
            <w:pPr>
              <w:spacing w:before="120"/>
              <w:rPr>
                <w:rFonts w:cstheme="minorHAnsi"/>
                <w:i/>
                <w:iCs/>
              </w:rPr>
            </w:pPr>
            <w:r w:rsidRPr="00520C23">
              <w:rPr>
                <w:rFonts w:cstheme="minorHAnsi"/>
                <w:i/>
                <w:iCs/>
              </w:rPr>
              <w:t xml:space="preserve">That prior to the grant of any further exploration approvals, in order to ensure independence and accountability, there must be </w:t>
            </w:r>
            <w:r w:rsidRPr="00520C23">
              <w:rPr>
                <w:rFonts w:cstheme="minorHAnsi"/>
                <w:b/>
                <w:bCs/>
                <w:i/>
                <w:iCs/>
              </w:rPr>
              <w:t>a clear separation between the agency with responsibility for regulating the environmental impacts and risks associated with any onshore shale gas industry and the agency responsible for promoting that industry</w:t>
            </w:r>
            <w:r w:rsidRPr="00520C23">
              <w:rPr>
                <w:rFonts w:cstheme="minorHAnsi"/>
                <w:i/>
                <w:iCs/>
              </w:rPr>
              <w:t xml:space="preserve">. </w:t>
            </w:r>
          </w:p>
        </w:tc>
        <w:tc>
          <w:tcPr>
            <w:tcW w:w="5760" w:type="dxa"/>
            <w:shd w:val="clear" w:color="auto" w:fill="auto"/>
          </w:tcPr>
          <w:p w14:paraId="56E6D016" w14:textId="33187623" w:rsidR="00472715" w:rsidRPr="00520C23" w:rsidRDefault="00472715" w:rsidP="00472715">
            <w:pPr>
              <w:spacing w:before="120"/>
            </w:pPr>
            <w:r w:rsidRPr="00520C23">
              <w:rPr>
                <w:rFonts w:ascii="Calibri" w:eastAsia="Calibri" w:hAnsi="Calibri" w:cs="Calibri"/>
                <w:color w:val="313131"/>
              </w:rPr>
              <w:t xml:space="preserve">The amendment to the Administrative Arrangement Orders were completed on 27 February 2019. This resulted in Minister for Environment and Natural Resources having administrative responsibility for provisions of the </w:t>
            </w:r>
            <w:r w:rsidRPr="00520C23">
              <w:rPr>
                <w:rFonts w:ascii="Calibri" w:eastAsia="Calibri" w:hAnsi="Calibri" w:cs="Calibri"/>
                <w:i/>
                <w:iCs/>
                <w:color w:val="313131"/>
              </w:rPr>
              <w:t>Petroleum Act 1984</w:t>
            </w:r>
            <w:r w:rsidRPr="00520C23">
              <w:rPr>
                <w:rFonts w:ascii="Calibri" w:eastAsia="Calibri" w:hAnsi="Calibri" w:cs="Calibri"/>
                <w:color w:val="313131"/>
              </w:rPr>
              <w:t xml:space="preserve"> relating to environmental regulation of petroleum activities (including the Petroleum (Environment) Regulations 2016 and the Environmental Offences). Minister for Primary Industry and Resources holds all other regulatory functions and powers under the </w:t>
            </w:r>
            <w:r w:rsidRPr="00520C23">
              <w:rPr>
                <w:rFonts w:ascii="Calibri" w:eastAsia="Calibri" w:hAnsi="Calibri" w:cs="Calibri"/>
                <w:i/>
                <w:iCs/>
                <w:color w:val="313131"/>
              </w:rPr>
              <w:t>Petroleum Act 1984</w:t>
            </w:r>
            <w:r w:rsidRPr="00520C23">
              <w:rPr>
                <w:rFonts w:ascii="Calibri" w:eastAsia="Calibri" w:hAnsi="Calibri" w:cs="Calibri"/>
                <w:color w:val="313131"/>
              </w:rPr>
              <w:t>.</w:t>
            </w:r>
          </w:p>
          <w:p w14:paraId="2773B40E" w14:textId="1B065C62" w:rsidR="00472715" w:rsidRPr="00520C23" w:rsidRDefault="00472715" w:rsidP="00472715">
            <w:pPr>
              <w:spacing w:before="120"/>
              <w:rPr>
                <w:rFonts w:ascii="Calibri" w:eastAsia="Calibri" w:hAnsi="Calibri" w:cs="Calibri"/>
                <w:color w:val="313131"/>
              </w:rPr>
            </w:pPr>
          </w:p>
          <w:p w14:paraId="7AE99CA3" w14:textId="3FDEC878" w:rsidR="00472715" w:rsidRPr="00520C23" w:rsidRDefault="00472715" w:rsidP="00472715">
            <w:pPr>
              <w:spacing w:before="120"/>
            </w:pPr>
            <w:r w:rsidRPr="00520C23">
              <w:rPr>
                <w:rFonts w:ascii="Calibri" w:eastAsia="Calibri" w:hAnsi="Calibri" w:cs="Calibri"/>
                <w:color w:val="313131"/>
              </w:rPr>
              <w:t xml:space="preserve">Amendments to the </w:t>
            </w:r>
            <w:r w:rsidRPr="00520C23">
              <w:rPr>
                <w:rFonts w:ascii="Calibri" w:eastAsia="Calibri" w:hAnsi="Calibri" w:cs="Calibri"/>
                <w:i/>
                <w:iCs/>
                <w:color w:val="313131"/>
              </w:rPr>
              <w:t>Northern Territory Environment Protection Authority Act 2012</w:t>
            </w:r>
            <w:r w:rsidRPr="00520C23">
              <w:rPr>
                <w:rFonts w:ascii="Calibri" w:eastAsia="Calibri" w:hAnsi="Calibri" w:cs="Calibri"/>
                <w:color w:val="313131"/>
              </w:rPr>
              <w:t xml:space="preserve"> commenced on 30 November 2018 allowing for additional members to be appointed to the NT EPA and introducing changes that will allow ministers to seek the authority’s advice on a range of specific proposals and plans targeting improved environmental management and protection.</w:t>
            </w:r>
          </w:p>
          <w:p w14:paraId="03F3E3AF" w14:textId="21F0920E" w:rsidR="00472715" w:rsidRPr="00520C23" w:rsidRDefault="00472715" w:rsidP="00472715">
            <w:pPr>
              <w:spacing w:before="120"/>
              <w:rPr>
                <w:rFonts w:ascii="Calibri" w:eastAsia="Calibri" w:hAnsi="Calibri" w:cs="Calibri"/>
                <w:color w:val="313131"/>
              </w:rPr>
            </w:pPr>
          </w:p>
          <w:p w14:paraId="1C0A65C5" w14:textId="5910F258" w:rsidR="00472715" w:rsidRPr="00520C23" w:rsidRDefault="00472715" w:rsidP="00472715">
            <w:pPr>
              <w:spacing w:before="120"/>
            </w:pPr>
            <w:r w:rsidRPr="00520C23">
              <w:rPr>
                <w:rFonts w:ascii="Calibri" w:eastAsia="Calibri" w:hAnsi="Calibri" w:cs="Calibri"/>
                <w:color w:val="313131"/>
              </w:rPr>
              <w:t>Two new NT EPA members with extensive experience in the petroleum industry commenced on 1 January 2019 and the NT EPA has begun providing the Minister advice to inform decisions as to whether or not to approve Environment Management Plans and what conditions should be attached.</w:t>
            </w:r>
          </w:p>
          <w:p w14:paraId="77DDCC97" w14:textId="46090007" w:rsidR="00472715" w:rsidRPr="00520C23" w:rsidRDefault="00472715" w:rsidP="00472715">
            <w:pPr>
              <w:spacing w:before="120"/>
            </w:pPr>
          </w:p>
        </w:tc>
        <w:tc>
          <w:tcPr>
            <w:tcW w:w="5670" w:type="dxa"/>
            <w:shd w:val="clear" w:color="auto" w:fill="auto"/>
          </w:tcPr>
          <w:p w14:paraId="365F5ECC" w14:textId="012EB4E1" w:rsidR="00472715" w:rsidRPr="00520C23" w:rsidRDefault="00472715" w:rsidP="00472715">
            <w:pPr>
              <w:spacing w:before="120"/>
              <w:rPr>
                <w:rFonts w:cstheme="minorHAnsi"/>
              </w:rPr>
            </w:pPr>
            <w:r w:rsidRPr="00520C23">
              <w:rPr>
                <w:rFonts w:cstheme="minorHAnsi"/>
              </w:rPr>
              <w:t xml:space="preserve">The government’s implementation website says: </w:t>
            </w:r>
          </w:p>
          <w:p w14:paraId="121B3479" w14:textId="1EF09D67" w:rsidR="00472715" w:rsidRPr="00520C23" w:rsidRDefault="00472715" w:rsidP="00472715">
            <w:pPr>
              <w:spacing w:before="120"/>
              <w:ind w:left="360"/>
              <w:rPr>
                <w:rFonts w:cstheme="minorHAnsi"/>
                <w:i/>
                <w:iCs/>
              </w:rPr>
            </w:pPr>
            <w:r w:rsidRPr="00520C23">
              <w:rPr>
                <w:rFonts w:cstheme="minorHAnsi"/>
                <w:i/>
                <w:iCs/>
              </w:rPr>
              <w:t>“The amendment to the Administrative Arrangement Orders were completed on 27 February 2019. This resulted in Minister for Environment and Natural Resources having administrative responsibility for provisions of the Petroleum Act 1984 relating to environmental regulation of petroleum activities (including the Petroleum (Environment) Regulations 2016 and the Environmental Offences). Minister for Primary Industry and Resources holds all other regulatory functions and powers under the Petroleum Act 1984.</w:t>
            </w:r>
          </w:p>
          <w:p w14:paraId="0FD32EAB" w14:textId="33B21D14" w:rsidR="00472715" w:rsidRPr="00520C23" w:rsidRDefault="00472715" w:rsidP="00472715">
            <w:pPr>
              <w:ind w:left="360"/>
              <w:rPr>
                <w:rFonts w:cstheme="minorHAnsi"/>
                <w:i/>
                <w:iCs/>
              </w:rPr>
            </w:pPr>
          </w:p>
          <w:p w14:paraId="44A64915" w14:textId="3B1E4B79" w:rsidR="00472715" w:rsidRPr="00520C23" w:rsidRDefault="00472715" w:rsidP="00472715">
            <w:pPr>
              <w:ind w:left="360"/>
              <w:rPr>
                <w:rFonts w:cstheme="minorHAnsi"/>
                <w:i/>
                <w:iCs/>
              </w:rPr>
            </w:pPr>
            <w:r w:rsidRPr="00520C23">
              <w:rPr>
                <w:rFonts w:cstheme="minorHAnsi"/>
                <w:i/>
                <w:iCs/>
              </w:rPr>
              <w:t>Amendments to the Northern Territory Environment Protection Authority Act 2012 commenced on 30 November 2018 allowing for additional members to be appointed to the NT EPA and introducing changes that will allow ministers to seek the authority’s advice on a range of specific proposals and plans targeting improved environmental management and protection.</w:t>
            </w:r>
          </w:p>
          <w:p w14:paraId="14424704" w14:textId="77777777" w:rsidR="00472715" w:rsidRPr="00520C23" w:rsidRDefault="00472715" w:rsidP="00472715">
            <w:pPr>
              <w:ind w:left="360"/>
              <w:rPr>
                <w:rFonts w:cstheme="minorHAnsi"/>
                <w:i/>
                <w:iCs/>
              </w:rPr>
            </w:pPr>
          </w:p>
          <w:p w14:paraId="3A4E87FD" w14:textId="5C7BB2A4" w:rsidR="00472715" w:rsidRPr="00520C23" w:rsidRDefault="00472715" w:rsidP="00472715">
            <w:pPr>
              <w:ind w:left="360"/>
              <w:rPr>
                <w:rFonts w:cstheme="minorHAnsi"/>
                <w:i/>
                <w:iCs/>
              </w:rPr>
            </w:pPr>
            <w:r w:rsidRPr="00520C23">
              <w:rPr>
                <w:rFonts w:cstheme="minorHAnsi"/>
                <w:i/>
                <w:iCs/>
              </w:rPr>
              <w:t>Two new NT EPA members with extensive experience in the petroleum industry commenced on 1 January 2019 and the NT EPA has begun providing the Minister advice to inform decisions as to whether or not to approve Environment Management Plans and what conditions should be attached.”</w:t>
            </w:r>
          </w:p>
          <w:p w14:paraId="6A617E06" w14:textId="7D7CEFB5" w:rsidR="00472715" w:rsidRPr="00520C23" w:rsidRDefault="00472715" w:rsidP="00472715">
            <w:pPr>
              <w:rPr>
                <w:rFonts w:cstheme="minorHAnsi"/>
              </w:rPr>
            </w:pPr>
          </w:p>
          <w:p w14:paraId="32B1E4FD" w14:textId="6796666A" w:rsidR="00472715" w:rsidRPr="00520C23" w:rsidRDefault="00472715" w:rsidP="00472715">
            <w:pPr>
              <w:spacing w:before="120"/>
              <w:rPr>
                <w:rFonts w:cstheme="minorHAnsi"/>
              </w:rPr>
            </w:pPr>
            <w:r w:rsidRPr="00520C23">
              <w:rPr>
                <w:rFonts w:cstheme="minorHAnsi"/>
              </w:rPr>
              <w:lastRenderedPageBreak/>
              <w:t>According to the Monitoring and Compliance Strategy published in July 2019, the roles of the Departments are divided as follows:</w:t>
            </w:r>
          </w:p>
          <w:p w14:paraId="28F7160D" w14:textId="5BCC92A4" w:rsidR="00472715" w:rsidRPr="00520C23" w:rsidRDefault="00472715" w:rsidP="00472715">
            <w:pPr>
              <w:spacing w:before="120"/>
              <w:ind w:left="720"/>
              <w:rPr>
                <w:rFonts w:cstheme="minorHAnsi"/>
                <w:i/>
                <w:iCs/>
              </w:rPr>
            </w:pPr>
            <w:r w:rsidRPr="00520C23">
              <w:rPr>
                <w:rFonts w:cstheme="minorHAnsi"/>
                <w:i/>
                <w:iCs/>
              </w:rPr>
              <w:t>The Department of Primary Industry and Resources (the Resource Regulator) now has the principal functions of: promoting land release; managing titles, access; managing securities; assessing and approving Well Operations Management Plans (WOMP); assessing and approving Well Integrity Management Plans (WIMP); activity and production reporting; providing technical and operational standards and codes of practice; providing information and assessment of exploration permits, retention licenses and production licenses.</w:t>
            </w:r>
          </w:p>
          <w:p w14:paraId="306810F3" w14:textId="2796906C" w:rsidR="00472715" w:rsidRPr="00520C23" w:rsidRDefault="00472715" w:rsidP="00472715">
            <w:pPr>
              <w:spacing w:before="120"/>
              <w:ind w:left="720"/>
              <w:rPr>
                <w:rFonts w:cstheme="minorHAnsi"/>
              </w:rPr>
            </w:pPr>
            <w:r w:rsidRPr="00520C23">
              <w:rPr>
                <w:rFonts w:cstheme="minorHAnsi"/>
                <w:i/>
                <w:iCs/>
              </w:rPr>
              <w:t>The Department of Environment and Natural Resources (the Environment Regulator) has the principal function of: liaising with industry prior to lodging applications regarding environmental planning and management requirements for proposed projects; assessing the project specific environmental risks and impacts as provided through the environment management plan (EMP) and/or environmental impact statement (EIS); providing assistance to the Northern Territory Environment Protection Authority (NTEPA) and Minister for Environment and Natural Resources in determining whether an EMP approval should be granted and appropriate environmental standards and conditions to be included; monitoring and auditing compliance with EMPs and environmental legislative requirements; making enforcement decisions and recommendations to the Minister for Environment and Natural Resources for environmental offences.</w:t>
            </w:r>
          </w:p>
        </w:tc>
        <w:tc>
          <w:tcPr>
            <w:tcW w:w="5310" w:type="dxa"/>
            <w:shd w:val="clear" w:color="auto" w:fill="FFF2CC" w:themeFill="accent4" w:themeFillTint="33"/>
          </w:tcPr>
          <w:p w14:paraId="3C8E21A4" w14:textId="135F190F" w:rsidR="00472715" w:rsidRPr="00520C23" w:rsidRDefault="00472715" w:rsidP="00472715">
            <w:pPr>
              <w:spacing w:before="120"/>
              <w:rPr>
                <w:rFonts w:cstheme="minorHAnsi"/>
              </w:rPr>
            </w:pPr>
            <w:r w:rsidRPr="00520C23">
              <w:rPr>
                <w:rFonts w:cstheme="minorHAnsi"/>
              </w:rPr>
              <w:lastRenderedPageBreak/>
              <w:t xml:space="preserve">This recommendation has largely been implemented, with a few weaknesses. </w:t>
            </w:r>
          </w:p>
          <w:p w14:paraId="17D8042A" w14:textId="0E695DFB" w:rsidR="00472715" w:rsidRPr="00520C23" w:rsidRDefault="00472715" w:rsidP="00472715">
            <w:pPr>
              <w:spacing w:before="120"/>
              <w:rPr>
                <w:rFonts w:cstheme="minorHAnsi"/>
                <w:i/>
                <w:iCs/>
                <w:u w:val="single"/>
              </w:rPr>
            </w:pPr>
            <w:r w:rsidRPr="00520C23">
              <w:rPr>
                <w:rFonts w:cstheme="minorHAnsi"/>
                <w:i/>
                <w:iCs/>
                <w:u w:val="single"/>
              </w:rPr>
              <w:t>Comments</w:t>
            </w:r>
          </w:p>
          <w:p w14:paraId="2B9A8D8A" w14:textId="6AA617CF" w:rsidR="00472715" w:rsidRPr="00520C23" w:rsidRDefault="00472715" w:rsidP="00472715">
            <w:pPr>
              <w:pStyle w:val="ListParagraph"/>
              <w:numPr>
                <w:ilvl w:val="0"/>
                <w:numId w:val="15"/>
              </w:numPr>
              <w:spacing w:before="120"/>
              <w:rPr>
                <w:rFonts w:cstheme="minorHAnsi"/>
              </w:rPr>
            </w:pPr>
            <w:r w:rsidRPr="00520C23">
              <w:rPr>
                <w:rFonts w:cstheme="minorHAnsi"/>
              </w:rPr>
              <w:t xml:space="preserve">It appears that the two NT EPA members with “extensive experience in the petroleum industry” have spent much of their careers working in or on behalf of the oil and gas industry, making their “clear separation” from the industry questionable. </w:t>
            </w:r>
          </w:p>
          <w:p w14:paraId="54063994" w14:textId="2BA963FF" w:rsidR="00472715" w:rsidRPr="00520C23" w:rsidRDefault="00472715" w:rsidP="00472715">
            <w:pPr>
              <w:pStyle w:val="ListParagraph"/>
              <w:numPr>
                <w:ilvl w:val="0"/>
                <w:numId w:val="15"/>
              </w:numPr>
              <w:spacing w:before="120"/>
              <w:rPr>
                <w:rFonts w:cstheme="minorHAnsi"/>
              </w:rPr>
            </w:pPr>
            <w:r w:rsidRPr="00520C23">
              <w:rPr>
                <w:rFonts w:cstheme="minorHAnsi"/>
              </w:rPr>
              <w:t>The Department of Industry, Tourism and Trade’s maintenance of control over the decision about the Well Operations Management Plan (WOMP) is not in line with the recommendation.</w:t>
            </w:r>
          </w:p>
        </w:tc>
      </w:tr>
      <w:tr w:rsidR="00EA3C33" w:rsidRPr="00520C23" w14:paraId="3C263782" w14:textId="77777777" w:rsidTr="00EA3C33">
        <w:tc>
          <w:tcPr>
            <w:tcW w:w="846" w:type="dxa"/>
            <w:shd w:val="clear" w:color="auto" w:fill="auto"/>
          </w:tcPr>
          <w:p w14:paraId="75BF1262" w14:textId="2A7425F5" w:rsidR="00472715" w:rsidRPr="00520C23" w:rsidRDefault="00472715" w:rsidP="00472715">
            <w:pPr>
              <w:spacing w:before="120"/>
              <w:jc w:val="center"/>
              <w:rPr>
                <w:rFonts w:cstheme="minorHAnsi"/>
              </w:rPr>
            </w:pPr>
            <w:r w:rsidRPr="00520C23">
              <w:rPr>
                <w:rFonts w:cstheme="minorHAnsi"/>
              </w:rPr>
              <w:t>16.2</w:t>
            </w:r>
          </w:p>
        </w:tc>
        <w:tc>
          <w:tcPr>
            <w:tcW w:w="4819" w:type="dxa"/>
            <w:shd w:val="clear" w:color="auto" w:fill="auto"/>
          </w:tcPr>
          <w:p w14:paraId="3E311E88" w14:textId="7142FA8A" w:rsidR="00472715" w:rsidRPr="00520C23" w:rsidRDefault="00472715" w:rsidP="00472715">
            <w:pPr>
              <w:spacing w:before="120"/>
              <w:rPr>
                <w:rFonts w:cstheme="minorHAnsi"/>
                <w:i/>
                <w:iCs/>
              </w:rPr>
            </w:pPr>
            <w:r w:rsidRPr="00520C23">
              <w:rPr>
                <w:rFonts w:cstheme="minorHAnsi"/>
                <w:i/>
                <w:iCs/>
              </w:rPr>
              <w:t>That an implementation framework including details of who, when and how each of the recommendations will be implemented, be completed within three months from any lifting of the moratorium.</w:t>
            </w:r>
          </w:p>
        </w:tc>
        <w:tc>
          <w:tcPr>
            <w:tcW w:w="5760" w:type="dxa"/>
            <w:shd w:val="clear" w:color="auto" w:fill="auto"/>
          </w:tcPr>
          <w:p w14:paraId="7D6D14A7" w14:textId="43D8A921" w:rsidR="00472715" w:rsidRPr="00520C23" w:rsidRDefault="00472715" w:rsidP="00472715">
            <w:pPr>
              <w:spacing w:before="120"/>
              <w:rPr>
                <w:rFonts w:cstheme="minorHAnsi"/>
              </w:rPr>
            </w:pPr>
            <w:r w:rsidRPr="00520C23">
              <w:rPr>
                <w:rFonts w:cstheme="minorHAnsi"/>
              </w:rPr>
              <w:t>The implementation plan has been released and is available to view at </w:t>
            </w:r>
            <w:hyperlink r:id="rId111" w:history="1">
              <w:r w:rsidRPr="00520C23">
                <w:rPr>
                  <w:rStyle w:val="Hyperlink"/>
                  <w:rFonts w:cstheme="minorHAnsi"/>
                </w:rPr>
                <w:t>hydraulicfracturing.nt.gov.au</w:t>
              </w:r>
            </w:hyperlink>
            <w:r w:rsidRPr="00520C23">
              <w:rPr>
                <w:rFonts w:cstheme="minorHAnsi"/>
              </w:rPr>
              <w:t>.</w:t>
            </w:r>
          </w:p>
        </w:tc>
        <w:tc>
          <w:tcPr>
            <w:tcW w:w="5670" w:type="dxa"/>
            <w:shd w:val="clear" w:color="auto" w:fill="auto"/>
          </w:tcPr>
          <w:p w14:paraId="146AF796" w14:textId="327ACA22" w:rsidR="00472715" w:rsidRPr="00520C23" w:rsidRDefault="00472715" w:rsidP="00472715">
            <w:pPr>
              <w:spacing w:before="120"/>
              <w:rPr>
                <w:rFonts w:cstheme="minorHAnsi"/>
              </w:rPr>
            </w:pPr>
            <w:r w:rsidRPr="00520C23">
              <w:rPr>
                <w:rFonts w:cstheme="minorHAnsi"/>
              </w:rPr>
              <w:t xml:space="preserve">The </w:t>
            </w:r>
            <w:hyperlink r:id="rId112" w:history="1">
              <w:r w:rsidRPr="00520C23">
                <w:rPr>
                  <w:rStyle w:val="Hyperlink"/>
                  <w:rFonts w:cstheme="minorHAnsi"/>
                </w:rPr>
                <w:t>Implementation Plan</w:t>
              </w:r>
            </w:hyperlink>
            <w:r w:rsidRPr="00520C23">
              <w:rPr>
                <w:rFonts w:cstheme="minorHAnsi"/>
              </w:rPr>
              <w:t xml:space="preserve"> sets out a three-stage process for implementing the Inquiry recommendations. </w:t>
            </w:r>
          </w:p>
          <w:p w14:paraId="7FF4A49E" w14:textId="77777777" w:rsidR="00472715" w:rsidRPr="00520C23" w:rsidRDefault="00472715" w:rsidP="00472715">
            <w:pPr>
              <w:spacing w:before="120"/>
              <w:rPr>
                <w:rFonts w:cstheme="minorHAnsi"/>
              </w:rPr>
            </w:pPr>
            <w:r w:rsidRPr="00520C23">
              <w:rPr>
                <w:rFonts w:cstheme="minorHAnsi"/>
              </w:rPr>
              <w:t xml:space="preserve">STAGE ONE – PLANNING </w:t>
            </w:r>
          </w:p>
          <w:p w14:paraId="5B2D8D2B" w14:textId="77777777" w:rsidR="00472715" w:rsidRPr="00520C23" w:rsidRDefault="00472715" w:rsidP="00472715">
            <w:pPr>
              <w:spacing w:before="120"/>
              <w:rPr>
                <w:rFonts w:cstheme="minorHAnsi"/>
              </w:rPr>
            </w:pPr>
            <w:r w:rsidRPr="00520C23">
              <w:rPr>
                <w:rFonts w:cstheme="minorHAnsi"/>
              </w:rPr>
              <w:t xml:space="preserve">Stage One outlines the tasks following the lifting of the moratorium. It covers setting up the governance arrangements for implementation, establishing the Onshore Shale Gas Community and Business Reference Group and starting work on some of the major reform areas. This Implementation Plan is the major milestone in Stage One. </w:t>
            </w:r>
          </w:p>
          <w:p w14:paraId="3B7DF940" w14:textId="77777777" w:rsidR="00472715" w:rsidRPr="00520C23" w:rsidRDefault="00472715" w:rsidP="00472715">
            <w:pPr>
              <w:spacing w:before="120"/>
              <w:rPr>
                <w:rFonts w:cstheme="minorHAnsi"/>
              </w:rPr>
            </w:pPr>
            <w:r w:rsidRPr="00520C23">
              <w:rPr>
                <w:rFonts w:cstheme="minorHAnsi"/>
              </w:rPr>
              <w:t>STAGE TWO – PREPARING FOR EXPLORATION</w:t>
            </w:r>
          </w:p>
          <w:p w14:paraId="0C8BF6AC" w14:textId="77777777" w:rsidR="00472715" w:rsidRPr="00520C23" w:rsidRDefault="00472715" w:rsidP="00472715">
            <w:pPr>
              <w:spacing w:before="120"/>
              <w:rPr>
                <w:rFonts w:cstheme="minorHAnsi"/>
              </w:rPr>
            </w:pPr>
            <w:r w:rsidRPr="00520C23">
              <w:rPr>
                <w:rFonts w:cstheme="minorHAnsi"/>
              </w:rPr>
              <w:t xml:space="preserve">Stage Two comprises implementing the recommendations that need to be done early including those that the Inquiry determined must be complete before any exploration involving drilling or hydraulic fracturing and stimulation of </w:t>
            </w:r>
            <w:r w:rsidRPr="00520C23">
              <w:rPr>
                <w:rFonts w:cstheme="minorHAnsi"/>
              </w:rPr>
              <w:lastRenderedPageBreak/>
              <w:t>unconventional wells. The recommendations summarised in table 16.1 of the Inquiry final report are:</w:t>
            </w:r>
          </w:p>
          <w:p w14:paraId="2ECCDD58" w14:textId="77777777" w:rsidR="00472715" w:rsidRPr="00520C23" w:rsidRDefault="00472715" w:rsidP="00472715">
            <w:pPr>
              <w:pStyle w:val="ListParagraph"/>
              <w:numPr>
                <w:ilvl w:val="0"/>
                <w:numId w:val="76"/>
              </w:numPr>
              <w:spacing w:before="120"/>
              <w:rPr>
                <w:rFonts w:cstheme="minorHAnsi"/>
              </w:rPr>
            </w:pPr>
            <w:r w:rsidRPr="00520C23">
              <w:rPr>
                <w:rFonts w:cstheme="minorHAnsi"/>
              </w:rPr>
              <w:t>Codes of Practice for industry</w:t>
            </w:r>
          </w:p>
          <w:p w14:paraId="6CC7CA96" w14:textId="77777777" w:rsidR="00472715" w:rsidRPr="00520C23" w:rsidRDefault="00472715" w:rsidP="00472715">
            <w:pPr>
              <w:pStyle w:val="ListParagraph"/>
              <w:numPr>
                <w:ilvl w:val="0"/>
                <w:numId w:val="76"/>
              </w:numPr>
              <w:spacing w:before="120"/>
              <w:rPr>
                <w:rFonts w:cstheme="minorHAnsi"/>
              </w:rPr>
            </w:pPr>
            <w:r w:rsidRPr="00520C23">
              <w:rPr>
                <w:rFonts w:cstheme="minorHAnsi"/>
              </w:rPr>
              <w:t>transfer of environmental decisions regarding petroleum from the Minister for Primary Industry and Resources to the Minister for Environment and Natural Resources</w:t>
            </w:r>
          </w:p>
          <w:p w14:paraId="56F83606" w14:textId="77777777" w:rsidR="00472715" w:rsidRPr="00520C23" w:rsidRDefault="00472715" w:rsidP="00472715">
            <w:pPr>
              <w:pStyle w:val="ListParagraph"/>
              <w:numPr>
                <w:ilvl w:val="0"/>
                <w:numId w:val="76"/>
              </w:numPr>
              <w:spacing w:before="120"/>
              <w:rPr>
                <w:rFonts w:cstheme="minorHAnsi"/>
              </w:rPr>
            </w:pPr>
            <w:r w:rsidRPr="00520C23">
              <w:rPr>
                <w:rFonts w:cstheme="minorHAnsi"/>
              </w:rPr>
              <w:t>baseline mapping and ongoing monitoring regimes for weeds, methane emissions and water quality near proposed drilling sites</w:t>
            </w:r>
          </w:p>
          <w:p w14:paraId="78A691F8" w14:textId="77777777" w:rsidR="00472715" w:rsidRPr="00520C23" w:rsidRDefault="00472715" w:rsidP="00472715">
            <w:pPr>
              <w:pStyle w:val="ListParagraph"/>
              <w:numPr>
                <w:ilvl w:val="0"/>
                <w:numId w:val="76"/>
              </w:numPr>
              <w:spacing w:before="120"/>
              <w:rPr>
                <w:rFonts w:cstheme="minorHAnsi"/>
              </w:rPr>
            </w:pPr>
            <w:r w:rsidRPr="00520C23">
              <w:rPr>
                <w:rFonts w:cstheme="minorHAnsi"/>
              </w:rPr>
              <w:t xml:space="preserve">commencement of a broader Strategic Regional Environmental and Baseline Assessment (SREBA). </w:t>
            </w:r>
          </w:p>
          <w:p w14:paraId="4697FC8F" w14:textId="1B5DCDA2" w:rsidR="00472715" w:rsidRPr="00520C23" w:rsidRDefault="00472715" w:rsidP="00472715">
            <w:pPr>
              <w:spacing w:before="120"/>
              <w:rPr>
                <w:rFonts w:cstheme="minorHAnsi"/>
              </w:rPr>
            </w:pPr>
            <w:r w:rsidRPr="00520C23">
              <w:rPr>
                <w:rFonts w:cstheme="minorHAnsi"/>
              </w:rPr>
              <w:t>Our goal is to complete this by the end of 2018.</w:t>
            </w:r>
          </w:p>
          <w:p w14:paraId="346FB3B6" w14:textId="77777777" w:rsidR="00472715" w:rsidRPr="00520C23" w:rsidRDefault="00472715" w:rsidP="00472715">
            <w:pPr>
              <w:spacing w:before="120"/>
              <w:rPr>
                <w:rFonts w:cstheme="minorHAnsi"/>
              </w:rPr>
            </w:pPr>
            <w:r w:rsidRPr="00520C23">
              <w:rPr>
                <w:rFonts w:cstheme="minorHAnsi"/>
              </w:rPr>
              <w:t>STAGE THREE – EXPLORATION AND PREPARING FOR PRODUCTION</w:t>
            </w:r>
          </w:p>
          <w:p w14:paraId="5CBE5549" w14:textId="4FC0D9C8" w:rsidR="00472715" w:rsidRPr="00520C23" w:rsidRDefault="00472715" w:rsidP="00472715">
            <w:pPr>
              <w:spacing w:before="120"/>
              <w:rPr>
                <w:rFonts w:cstheme="minorHAnsi"/>
              </w:rPr>
            </w:pPr>
            <w:r w:rsidRPr="00520C23">
              <w:rPr>
                <w:rFonts w:cstheme="minorHAnsi"/>
              </w:rPr>
              <w:t>Stage Three covers the balance of the Inquiry recommendations and will take a number of years to complete. Stage Three must be completed before any production approvals are granted for unconventional gas. Many of the actions in Stage Three are still in planning and the detailed approach will be published in online updates to this plan. Actions in Stage Three may commence before Stage Two is complete.</w:t>
            </w:r>
          </w:p>
        </w:tc>
        <w:tc>
          <w:tcPr>
            <w:tcW w:w="5310" w:type="dxa"/>
            <w:shd w:val="clear" w:color="auto" w:fill="E2EFD9" w:themeFill="accent6" w:themeFillTint="33"/>
          </w:tcPr>
          <w:p w14:paraId="4E1A7A1B" w14:textId="5584BF99" w:rsidR="00472715" w:rsidRPr="00520C23" w:rsidRDefault="00472715" w:rsidP="00472715">
            <w:pPr>
              <w:spacing w:before="120"/>
              <w:rPr>
                <w:rFonts w:cstheme="minorHAnsi"/>
              </w:rPr>
            </w:pPr>
            <w:r w:rsidRPr="00520C23">
              <w:rPr>
                <w:rFonts w:cstheme="minorHAnsi"/>
              </w:rPr>
              <w:lastRenderedPageBreak/>
              <w:t xml:space="preserve">The Implementation Plan largely addresses recommendation 16.2. </w:t>
            </w:r>
          </w:p>
          <w:p w14:paraId="60B73BF4" w14:textId="1C2A4BD6" w:rsidR="00472715" w:rsidRPr="00520C23" w:rsidRDefault="00472715" w:rsidP="00472715">
            <w:pPr>
              <w:spacing w:before="120"/>
              <w:rPr>
                <w:rFonts w:cstheme="minorHAnsi"/>
                <w:i/>
                <w:iCs/>
                <w:u w:val="single"/>
              </w:rPr>
            </w:pPr>
            <w:r w:rsidRPr="00520C23">
              <w:rPr>
                <w:rFonts w:cstheme="minorHAnsi"/>
                <w:i/>
                <w:iCs/>
                <w:u w:val="single"/>
              </w:rPr>
              <w:t>Comments</w:t>
            </w:r>
          </w:p>
          <w:p w14:paraId="0CDAACDC" w14:textId="3ED6818E" w:rsidR="00472715" w:rsidRPr="00520C23" w:rsidRDefault="00472715" w:rsidP="00472715">
            <w:pPr>
              <w:pStyle w:val="ListParagraph"/>
              <w:numPr>
                <w:ilvl w:val="0"/>
                <w:numId w:val="76"/>
              </w:numPr>
              <w:spacing w:before="120"/>
              <w:rPr>
                <w:rFonts w:cstheme="minorHAnsi"/>
              </w:rPr>
            </w:pPr>
            <w:r w:rsidRPr="00520C23">
              <w:rPr>
                <w:rFonts w:cstheme="minorHAnsi"/>
              </w:rPr>
              <w:t xml:space="preserve">The timeline for implementation, especially with regard to Stage Three, is vague. </w:t>
            </w:r>
          </w:p>
        </w:tc>
      </w:tr>
      <w:tr w:rsidR="00EA3C33" w:rsidRPr="00520C23" w14:paraId="29FB226B" w14:textId="77777777" w:rsidTr="00EA3C33">
        <w:tc>
          <w:tcPr>
            <w:tcW w:w="846" w:type="dxa"/>
            <w:shd w:val="clear" w:color="auto" w:fill="auto"/>
          </w:tcPr>
          <w:p w14:paraId="212C49EC" w14:textId="42BE1F87" w:rsidR="00472715" w:rsidRPr="00520C23" w:rsidRDefault="00472715" w:rsidP="00472715">
            <w:pPr>
              <w:spacing w:before="120"/>
              <w:jc w:val="center"/>
              <w:rPr>
                <w:rFonts w:cstheme="minorHAnsi"/>
              </w:rPr>
            </w:pPr>
            <w:r w:rsidRPr="00520C23">
              <w:rPr>
                <w:rFonts w:cstheme="minorHAnsi"/>
              </w:rPr>
              <w:t>16.3</w:t>
            </w:r>
          </w:p>
        </w:tc>
        <w:tc>
          <w:tcPr>
            <w:tcW w:w="4819" w:type="dxa"/>
            <w:shd w:val="clear" w:color="auto" w:fill="auto"/>
          </w:tcPr>
          <w:p w14:paraId="3B1CB874" w14:textId="6730DEF9" w:rsidR="00472715" w:rsidRPr="00520C23" w:rsidRDefault="00472715" w:rsidP="00472715">
            <w:pPr>
              <w:spacing w:before="120"/>
              <w:rPr>
                <w:rFonts w:cstheme="minorHAnsi"/>
                <w:i/>
                <w:iCs/>
              </w:rPr>
            </w:pPr>
            <w:r w:rsidRPr="00520C23">
              <w:rPr>
                <w:rFonts w:cstheme="minorHAnsi"/>
                <w:i/>
                <w:iCs/>
              </w:rPr>
              <w:t>That a centralised, well-resourced, experienced and skilled Implementation Unit be established immediately within the Department of Chief Minister to coordinate the development of the implementation framework.</w:t>
            </w:r>
          </w:p>
        </w:tc>
        <w:tc>
          <w:tcPr>
            <w:tcW w:w="5760" w:type="dxa"/>
            <w:shd w:val="clear" w:color="auto" w:fill="auto"/>
          </w:tcPr>
          <w:p w14:paraId="57DD0C30" w14:textId="447A2AA2" w:rsidR="00472715" w:rsidRPr="00520C23" w:rsidRDefault="00472715" w:rsidP="00472715">
            <w:pPr>
              <w:spacing w:before="120"/>
              <w:rPr>
                <w:rFonts w:cstheme="minorHAnsi"/>
              </w:rPr>
            </w:pPr>
            <w:r w:rsidRPr="00520C23">
              <w:rPr>
                <w:rFonts w:cstheme="minorHAnsi"/>
              </w:rPr>
              <w:t>The Hydraulic Fracturing Inquiry Implementation Taskforce was established April 2018 in the Department of the Chief Minister and Cabinet.</w:t>
            </w:r>
          </w:p>
        </w:tc>
        <w:tc>
          <w:tcPr>
            <w:tcW w:w="5670" w:type="dxa"/>
            <w:shd w:val="clear" w:color="auto" w:fill="auto"/>
          </w:tcPr>
          <w:p w14:paraId="59A912DD" w14:textId="77777777" w:rsidR="00472715" w:rsidRPr="00520C23" w:rsidRDefault="00472715" w:rsidP="00472715">
            <w:pPr>
              <w:spacing w:before="120"/>
              <w:rPr>
                <w:rFonts w:cstheme="minorHAnsi"/>
                <w:i/>
                <w:iCs/>
              </w:rPr>
            </w:pPr>
            <w:r w:rsidRPr="00520C23">
              <w:rPr>
                <w:rFonts w:cstheme="minorHAnsi"/>
                <w:i/>
                <w:iCs/>
              </w:rPr>
              <w:t xml:space="preserve">“The Hydraulic Fracturing Inquiry Implementation Taskforce has been established within the Department of the Chief Minister to coordinate the delivery of the Inquiry recommendations and articulate an approach to implementing each recommendation, mapped in the Implementation Plan. </w:t>
            </w:r>
          </w:p>
          <w:p w14:paraId="7455CF04" w14:textId="77777777" w:rsidR="00472715" w:rsidRPr="00520C23" w:rsidRDefault="00472715" w:rsidP="00472715">
            <w:pPr>
              <w:spacing w:before="120"/>
              <w:rPr>
                <w:rFonts w:cstheme="minorHAnsi"/>
                <w:i/>
                <w:iCs/>
              </w:rPr>
            </w:pPr>
            <w:r w:rsidRPr="00520C23">
              <w:rPr>
                <w:rFonts w:cstheme="minorHAnsi"/>
                <w:i/>
                <w:iCs/>
              </w:rPr>
              <w:t xml:space="preserve">A Steering Committee of government Chief Executives guides the work of the Taskforce and assesses and manages risks to the delivery of this plan.” </w:t>
            </w:r>
          </w:p>
          <w:p w14:paraId="5629634E" w14:textId="464586EB" w:rsidR="00472715" w:rsidRPr="00520C23" w:rsidRDefault="00472715" w:rsidP="00472715">
            <w:pPr>
              <w:spacing w:before="120"/>
              <w:rPr>
                <w:rFonts w:cstheme="minorHAnsi"/>
              </w:rPr>
            </w:pPr>
            <w:r w:rsidRPr="00520C23">
              <w:rPr>
                <w:rFonts w:cstheme="minorHAnsi"/>
              </w:rPr>
              <w:t xml:space="preserve">Scientific Inquiry into Hydraulic Fracturing Implementation Plan at 5. </w:t>
            </w:r>
          </w:p>
        </w:tc>
        <w:tc>
          <w:tcPr>
            <w:tcW w:w="5310" w:type="dxa"/>
            <w:shd w:val="clear" w:color="auto" w:fill="E2EFD9" w:themeFill="accent6" w:themeFillTint="33"/>
          </w:tcPr>
          <w:p w14:paraId="0CD38753" w14:textId="6A057CE1" w:rsidR="00472715" w:rsidRPr="00520C23" w:rsidRDefault="00472715" w:rsidP="00472715">
            <w:pPr>
              <w:spacing w:before="120"/>
              <w:rPr>
                <w:rFonts w:cstheme="minorHAnsi"/>
              </w:rPr>
            </w:pPr>
            <w:r w:rsidRPr="00520C23">
              <w:rPr>
                <w:rFonts w:cstheme="minorHAnsi"/>
              </w:rPr>
              <w:t>This recommendation has been fully implemented.</w:t>
            </w:r>
          </w:p>
        </w:tc>
      </w:tr>
      <w:tr w:rsidR="00EA3C33" w:rsidRPr="00520C23" w14:paraId="70F276AE" w14:textId="77777777" w:rsidTr="00EA3C33">
        <w:tc>
          <w:tcPr>
            <w:tcW w:w="846" w:type="dxa"/>
            <w:shd w:val="clear" w:color="auto" w:fill="auto"/>
          </w:tcPr>
          <w:p w14:paraId="22641D3E" w14:textId="2A890F33" w:rsidR="00472715" w:rsidRPr="00520C23" w:rsidRDefault="00472715" w:rsidP="00472715">
            <w:pPr>
              <w:spacing w:before="120"/>
              <w:jc w:val="center"/>
              <w:rPr>
                <w:rFonts w:cstheme="minorHAnsi"/>
              </w:rPr>
            </w:pPr>
            <w:r w:rsidRPr="00520C23">
              <w:rPr>
                <w:rFonts w:cstheme="minorHAnsi"/>
              </w:rPr>
              <w:t>16.4</w:t>
            </w:r>
          </w:p>
        </w:tc>
        <w:tc>
          <w:tcPr>
            <w:tcW w:w="4819" w:type="dxa"/>
            <w:shd w:val="clear" w:color="auto" w:fill="auto"/>
          </w:tcPr>
          <w:p w14:paraId="75C29A1A" w14:textId="750056F5" w:rsidR="00472715" w:rsidRPr="00520C23" w:rsidRDefault="00472715" w:rsidP="00472715">
            <w:pPr>
              <w:spacing w:before="120"/>
              <w:rPr>
                <w:rFonts w:cstheme="minorHAnsi"/>
                <w:i/>
                <w:iCs/>
              </w:rPr>
            </w:pPr>
            <w:r w:rsidRPr="00520C23">
              <w:rPr>
                <w:rFonts w:cstheme="minorHAnsi"/>
                <w:i/>
                <w:iCs/>
              </w:rPr>
              <w:t>That a Community and Onshore Shale Gas Industry and Business Reference Group be established to provide feedback to Government on the development of an implementation framework, and its subsequent execution, if the Government lifts the moratorium.</w:t>
            </w:r>
          </w:p>
        </w:tc>
        <w:tc>
          <w:tcPr>
            <w:tcW w:w="5760" w:type="dxa"/>
            <w:shd w:val="clear" w:color="auto" w:fill="auto"/>
          </w:tcPr>
          <w:p w14:paraId="459EDBB2" w14:textId="36A65B41" w:rsidR="00472715" w:rsidRPr="00520C23" w:rsidRDefault="00472715" w:rsidP="00472715">
            <w:pPr>
              <w:spacing w:before="120"/>
              <w:rPr>
                <w:rFonts w:cstheme="minorHAnsi"/>
              </w:rPr>
            </w:pPr>
            <w:r w:rsidRPr="00520C23">
              <w:rPr>
                <w:rFonts w:cstheme="minorHAnsi"/>
              </w:rPr>
              <w:t xml:space="preserve">The Onshore Shale Gas Community and Business Reference Group has been formed and had its first meeting on 3 July 2018. The Reference Group has had six meetings in total as of March 2020. The Terms of Reference and Communique from meetings can be downloaded </w:t>
            </w:r>
            <w:hyperlink r:id="rId113" w:history="1">
              <w:r w:rsidRPr="00520C23">
                <w:rPr>
                  <w:rStyle w:val="Hyperlink"/>
                  <w:rFonts w:cstheme="minorHAnsi"/>
                </w:rPr>
                <w:t>here</w:t>
              </w:r>
            </w:hyperlink>
            <w:r w:rsidRPr="00520C23">
              <w:rPr>
                <w:rFonts w:cstheme="minorHAnsi"/>
              </w:rPr>
              <w:t>.</w:t>
            </w:r>
          </w:p>
        </w:tc>
        <w:tc>
          <w:tcPr>
            <w:tcW w:w="5670" w:type="dxa"/>
            <w:shd w:val="clear" w:color="auto" w:fill="auto"/>
          </w:tcPr>
          <w:p w14:paraId="7A5F0611" w14:textId="232A005E" w:rsidR="00472715" w:rsidRPr="00520C23" w:rsidRDefault="00472715" w:rsidP="00472715">
            <w:pPr>
              <w:spacing w:before="120"/>
              <w:rPr>
                <w:rFonts w:cstheme="minorHAnsi"/>
              </w:rPr>
            </w:pPr>
            <w:r w:rsidRPr="00520C23">
              <w:rPr>
                <w:rFonts w:cstheme="minorHAnsi"/>
                <w:i/>
                <w:iCs/>
              </w:rPr>
              <w:t>“The Onshore Shale Gas Community and Business Reference Group has been established with representatives from the community, environmental groups, local business, the gas industry, land councils and local government. Its role is to provide a forum for government to seek advice and share information on the Implementation Plan to deliver on the recommendations and their subsequent execution.”</w:t>
            </w:r>
            <w:r w:rsidRPr="00520C23">
              <w:rPr>
                <w:rFonts w:cstheme="minorHAnsi"/>
              </w:rPr>
              <w:t xml:space="preserve"> Scientific Inquiry into Hydraulic Fracturing Implementation Plan at 5.</w:t>
            </w:r>
          </w:p>
        </w:tc>
        <w:tc>
          <w:tcPr>
            <w:tcW w:w="5310" w:type="dxa"/>
            <w:shd w:val="clear" w:color="auto" w:fill="E2EFD9" w:themeFill="accent6" w:themeFillTint="33"/>
          </w:tcPr>
          <w:p w14:paraId="67DE26D5" w14:textId="77777777" w:rsidR="00472715" w:rsidRPr="00520C23" w:rsidRDefault="00472715" w:rsidP="00472715">
            <w:pPr>
              <w:spacing w:before="120"/>
              <w:rPr>
                <w:rFonts w:cstheme="minorHAnsi"/>
              </w:rPr>
            </w:pPr>
            <w:r w:rsidRPr="00520C23">
              <w:rPr>
                <w:rFonts w:cstheme="minorHAnsi"/>
              </w:rPr>
              <w:t xml:space="preserve">This recommendation has been fully implemented. </w:t>
            </w:r>
          </w:p>
          <w:p w14:paraId="729A8A2A" w14:textId="77777777" w:rsidR="00472715" w:rsidRPr="00520C23" w:rsidRDefault="00472715" w:rsidP="00472715">
            <w:pPr>
              <w:spacing w:before="120"/>
              <w:rPr>
                <w:rFonts w:cstheme="minorHAnsi"/>
                <w:i/>
                <w:iCs/>
                <w:u w:val="single"/>
              </w:rPr>
            </w:pPr>
            <w:r w:rsidRPr="00520C23">
              <w:rPr>
                <w:rFonts w:cstheme="minorHAnsi"/>
                <w:i/>
                <w:iCs/>
                <w:u w:val="single"/>
              </w:rPr>
              <w:t>Comments</w:t>
            </w:r>
          </w:p>
          <w:p w14:paraId="2A78A22E" w14:textId="0E6DEC46" w:rsidR="00472715" w:rsidRPr="00520C23" w:rsidRDefault="00472715" w:rsidP="00472715">
            <w:pPr>
              <w:pStyle w:val="ListParagraph"/>
              <w:numPr>
                <w:ilvl w:val="0"/>
                <w:numId w:val="76"/>
              </w:numPr>
              <w:spacing w:before="120"/>
              <w:rPr>
                <w:rFonts w:cstheme="minorHAnsi"/>
              </w:rPr>
            </w:pPr>
            <w:r w:rsidRPr="00520C23">
              <w:rPr>
                <w:rFonts w:cstheme="minorHAnsi"/>
              </w:rPr>
              <w:t xml:space="preserve">The </w:t>
            </w:r>
            <w:hyperlink r:id="rId114" w:history="1">
              <w:r w:rsidRPr="00520C23">
                <w:rPr>
                  <w:rStyle w:val="Hyperlink"/>
                  <w:rFonts w:cstheme="minorHAnsi"/>
                </w:rPr>
                <w:t>Reference Group</w:t>
              </w:r>
            </w:hyperlink>
            <w:r w:rsidRPr="00520C23">
              <w:rPr>
                <w:rFonts w:cstheme="minorHAnsi"/>
              </w:rPr>
              <w:t xml:space="preserve">’s term concluded on 31 December 2020. “Engagement and oversight through the final stage of inquiry implementation will continue directly with the Independent Overseer, </w:t>
            </w:r>
            <w:hyperlink r:id="rId115" w:anchor=":~:text=The%20Hydraulic%20Fracturing%20Inquiry%20Implementation,mapped%20in%20the%20Implementation%20Plan." w:history="1">
              <w:r w:rsidRPr="00520C23">
                <w:rPr>
                  <w:rStyle w:val="Hyperlink"/>
                  <w:rFonts w:cstheme="minorHAnsi"/>
                </w:rPr>
                <w:t>Dr Ritchie</w:t>
              </w:r>
            </w:hyperlink>
            <w:r w:rsidRPr="00520C23">
              <w:rPr>
                <w:rFonts w:cstheme="minorHAnsi"/>
              </w:rPr>
              <w:t xml:space="preserve"> and through existing and newly established working and reference groups.” </w:t>
            </w:r>
          </w:p>
        </w:tc>
      </w:tr>
    </w:tbl>
    <w:p w14:paraId="0B64635A" w14:textId="03823723" w:rsidR="004C10AE" w:rsidRPr="00520C23" w:rsidRDefault="004C10AE">
      <w:pPr>
        <w:rPr>
          <w:rFonts w:cstheme="minorHAnsi"/>
        </w:rPr>
      </w:pPr>
    </w:p>
    <w:sectPr w:rsidR="004C10AE" w:rsidRPr="00520C23" w:rsidSect="00AD439F">
      <w:headerReference w:type="default" r:id="rId116"/>
      <w:pgSz w:w="23820" w:h="168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8B0E" w14:textId="77777777" w:rsidR="0079659B" w:rsidRDefault="0079659B" w:rsidP="0081104B">
      <w:pPr>
        <w:spacing w:after="0" w:line="240" w:lineRule="auto"/>
      </w:pPr>
      <w:r>
        <w:separator/>
      </w:r>
    </w:p>
  </w:endnote>
  <w:endnote w:type="continuationSeparator" w:id="0">
    <w:p w14:paraId="63FCE32C" w14:textId="77777777" w:rsidR="0079659B" w:rsidRDefault="0079659B" w:rsidP="0081104B">
      <w:pPr>
        <w:spacing w:after="0" w:line="240" w:lineRule="auto"/>
      </w:pPr>
      <w:r>
        <w:continuationSeparator/>
      </w:r>
    </w:p>
  </w:endnote>
  <w:endnote w:type="continuationNotice" w:id="1">
    <w:p w14:paraId="68F09840" w14:textId="77777777" w:rsidR="0079659B" w:rsidRDefault="00796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29B8" w14:textId="77777777" w:rsidR="0079659B" w:rsidRDefault="0079659B" w:rsidP="0081104B">
      <w:pPr>
        <w:spacing w:after="0" w:line="240" w:lineRule="auto"/>
      </w:pPr>
      <w:r>
        <w:separator/>
      </w:r>
    </w:p>
  </w:footnote>
  <w:footnote w:type="continuationSeparator" w:id="0">
    <w:p w14:paraId="782352E2" w14:textId="77777777" w:rsidR="0079659B" w:rsidRDefault="0079659B" w:rsidP="0081104B">
      <w:pPr>
        <w:spacing w:after="0" w:line="240" w:lineRule="auto"/>
      </w:pPr>
      <w:r>
        <w:continuationSeparator/>
      </w:r>
    </w:p>
  </w:footnote>
  <w:footnote w:type="continuationNotice" w:id="1">
    <w:p w14:paraId="06050254" w14:textId="77777777" w:rsidR="0079659B" w:rsidRDefault="00796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342998"/>
      <w:docPartObj>
        <w:docPartGallery w:val="Page Numbers (Top of Page)"/>
        <w:docPartUnique/>
      </w:docPartObj>
    </w:sdtPr>
    <w:sdtEndPr>
      <w:rPr>
        <w:noProof/>
      </w:rPr>
    </w:sdtEndPr>
    <w:sdtContent>
      <w:p w14:paraId="4D124BBF" w14:textId="5BED7FA8" w:rsidR="00B62409" w:rsidRDefault="00037E23" w:rsidP="00C45F80">
        <w:pPr>
          <w:pStyle w:val="Header"/>
        </w:pPr>
        <w:r>
          <w:tab/>
        </w:r>
        <w:r>
          <w:tab/>
        </w:r>
        <w:r>
          <w:tab/>
        </w:r>
        <w:r>
          <w:tab/>
        </w:r>
        <w:r>
          <w:tab/>
        </w:r>
        <w:r>
          <w:tab/>
        </w:r>
        <w:r>
          <w:tab/>
        </w:r>
        <w:r>
          <w:tab/>
        </w:r>
        <w:r>
          <w:tab/>
        </w:r>
        <w:r>
          <w:tab/>
        </w:r>
        <w:r>
          <w:tab/>
        </w:r>
        <w:r>
          <w:tab/>
        </w:r>
        <w:r>
          <w:tab/>
        </w:r>
        <w:r>
          <w:tab/>
        </w:r>
        <w:r>
          <w:tab/>
        </w:r>
        <w:r>
          <w:tab/>
        </w:r>
        <w:r>
          <w:tab/>
        </w:r>
        <w:r>
          <w:tab/>
        </w:r>
        <w:r>
          <w:tab/>
        </w:r>
        <w:r w:rsidR="00B62409">
          <w:fldChar w:fldCharType="begin"/>
        </w:r>
        <w:r w:rsidR="00B62409">
          <w:instrText xml:space="preserve"> PAGE   \* MERGEFORMAT </w:instrText>
        </w:r>
        <w:r w:rsidR="00B62409">
          <w:fldChar w:fldCharType="separate"/>
        </w:r>
        <w:r w:rsidR="00B62409">
          <w:rPr>
            <w:noProof/>
          </w:rPr>
          <w:t>2</w:t>
        </w:r>
        <w:r w:rsidR="00B62409">
          <w:rPr>
            <w:noProof/>
          </w:rPr>
          <w:fldChar w:fldCharType="end"/>
        </w:r>
      </w:p>
    </w:sdtContent>
  </w:sdt>
  <w:p w14:paraId="7452A904" w14:textId="0007502C" w:rsidR="00E33021" w:rsidRDefault="00E33021">
    <w:pPr>
      <w:pStyle w:val="Head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5E2"/>
    <w:multiLevelType w:val="hybridMultilevel"/>
    <w:tmpl w:val="02D616D0"/>
    <w:lvl w:ilvl="0" w:tplc="4BC8A666">
      <w:start w:val="4"/>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EB8"/>
    <w:multiLevelType w:val="hybridMultilevel"/>
    <w:tmpl w:val="9CF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9A8"/>
    <w:multiLevelType w:val="multilevel"/>
    <w:tmpl w:val="9FF2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E3CA0"/>
    <w:multiLevelType w:val="hybridMultilevel"/>
    <w:tmpl w:val="4E52011E"/>
    <w:lvl w:ilvl="0" w:tplc="9D5AF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2779E"/>
    <w:multiLevelType w:val="hybridMultilevel"/>
    <w:tmpl w:val="51F0B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44016"/>
    <w:multiLevelType w:val="hybridMultilevel"/>
    <w:tmpl w:val="9F806A14"/>
    <w:lvl w:ilvl="0" w:tplc="CFCC4AB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07BB1"/>
    <w:multiLevelType w:val="multilevel"/>
    <w:tmpl w:val="082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17097"/>
    <w:multiLevelType w:val="hybridMultilevel"/>
    <w:tmpl w:val="12CDA7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4D64C1"/>
    <w:multiLevelType w:val="hybridMultilevel"/>
    <w:tmpl w:val="1D50DE10"/>
    <w:lvl w:ilvl="0" w:tplc="5DA27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107939"/>
    <w:multiLevelType w:val="hybridMultilevel"/>
    <w:tmpl w:val="9828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F4B5849"/>
    <w:multiLevelType w:val="hybridMultilevel"/>
    <w:tmpl w:val="8324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B3FF9"/>
    <w:multiLevelType w:val="hybridMultilevel"/>
    <w:tmpl w:val="82F6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01F63"/>
    <w:multiLevelType w:val="hybridMultilevel"/>
    <w:tmpl w:val="BC4061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638FF"/>
    <w:multiLevelType w:val="multilevel"/>
    <w:tmpl w:val="C0B8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073F5"/>
    <w:multiLevelType w:val="hybridMultilevel"/>
    <w:tmpl w:val="99968564"/>
    <w:lvl w:ilvl="0" w:tplc="32A2D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E188C"/>
    <w:multiLevelType w:val="hybridMultilevel"/>
    <w:tmpl w:val="44CCA802"/>
    <w:lvl w:ilvl="0" w:tplc="253610B8">
      <w:start w:val="1"/>
      <w:numFmt w:val="lowerRoman"/>
      <w:lvlText w:val="(%1)"/>
      <w:lvlJc w:val="left"/>
      <w:pPr>
        <w:ind w:left="720" w:hanging="360"/>
      </w:pPr>
      <w:rPr>
        <w:rFonts w:hint="default"/>
      </w:rPr>
    </w:lvl>
    <w:lvl w:ilvl="1" w:tplc="F91A26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BB6E79"/>
    <w:multiLevelType w:val="hybridMultilevel"/>
    <w:tmpl w:val="736A08DE"/>
    <w:lvl w:ilvl="0" w:tplc="6D864E5A">
      <w:start w:val="61"/>
      <w:numFmt w:val="low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6C62E8"/>
    <w:multiLevelType w:val="hybridMultilevel"/>
    <w:tmpl w:val="645205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7C77227"/>
    <w:multiLevelType w:val="hybridMultilevel"/>
    <w:tmpl w:val="00E0E8E8"/>
    <w:lvl w:ilvl="0" w:tplc="32A2D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E783D"/>
    <w:multiLevelType w:val="multilevel"/>
    <w:tmpl w:val="0BB0D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265353"/>
    <w:multiLevelType w:val="hybridMultilevel"/>
    <w:tmpl w:val="967A6222"/>
    <w:lvl w:ilvl="0" w:tplc="32A2D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58504B"/>
    <w:multiLevelType w:val="multilevel"/>
    <w:tmpl w:val="3D78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8A3154"/>
    <w:multiLevelType w:val="multilevel"/>
    <w:tmpl w:val="608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C15B48"/>
    <w:multiLevelType w:val="multilevel"/>
    <w:tmpl w:val="572A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4AC57"/>
    <w:multiLevelType w:val="hybridMultilevel"/>
    <w:tmpl w:val="1EDD571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0691954"/>
    <w:multiLevelType w:val="hybridMultilevel"/>
    <w:tmpl w:val="BD423D6C"/>
    <w:lvl w:ilvl="0" w:tplc="04090001">
      <w:start w:val="1"/>
      <w:numFmt w:val="bullet"/>
      <w:lvlText w:val=""/>
      <w:lvlJc w:val="left"/>
      <w:pPr>
        <w:ind w:left="360" w:hanging="360"/>
      </w:pPr>
      <w:rPr>
        <w:rFonts w:ascii="Symbol" w:hAnsi="Symbol" w:hint="default"/>
      </w:rPr>
    </w:lvl>
    <w:lvl w:ilvl="1" w:tplc="604A508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06D3FA9"/>
    <w:multiLevelType w:val="hybridMultilevel"/>
    <w:tmpl w:val="ECD8A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C045FC"/>
    <w:multiLevelType w:val="hybridMultilevel"/>
    <w:tmpl w:val="CE10F49A"/>
    <w:lvl w:ilvl="0" w:tplc="07C46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1E6E26"/>
    <w:multiLevelType w:val="hybridMultilevel"/>
    <w:tmpl w:val="5BB4772A"/>
    <w:lvl w:ilvl="0" w:tplc="33AEF9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2E4D85"/>
    <w:multiLevelType w:val="hybridMultilevel"/>
    <w:tmpl w:val="46D83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AD2A4D"/>
    <w:multiLevelType w:val="hybridMultilevel"/>
    <w:tmpl w:val="EE3E6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FA36D8"/>
    <w:multiLevelType w:val="hybridMultilevel"/>
    <w:tmpl w:val="80FE3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7924FCE"/>
    <w:multiLevelType w:val="hybridMultilevel"/>
    <w:tmpl w:val="B04CDF6A"/>
    <w:lvl w:ilvl="0" w:tplc="B3AEB38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3A51D4"/>
    <w:multiLevelType w:val="hybridMultilevel"/>
    <w:tmpl w:val="FD6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B952C6"/>
    <w:multiLevelType w:val="hybridMultilevel"/>
    <w:tmpl w:val="9FEA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EE49A0"/>
    <w:multiLevelType w:val="multilevel"/>
    <w:tmpl w:val="6C60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F93BEB"/>
    <w:multiLevelType w:val="hybridMultilevel"/>
    <w:tmpl w:val="CF36FD96"/>
    <w:lvl w:ilvl="0" w:tplc="07C46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1C591D"/>
    <w:multiLevelType w:val="hybridMultilevel"/>
    <w:tmpl w:val="65F4A4E2"/>
    <w:lvl w:ilvl="0" w:tplc="32A2D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C352E3"/>
    <w:multiLevelType w:val="multilevel"/>
    <w:tmpl w:val="252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AE4BCB"/>
    <w:multiLevelType w:val="multilevel"/>
    <w:tmpl w:val="01A68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660BB2"/>
    <w:multiLevelType w:val="hybridMultilevel"/>
    <w:tmpl w:val="120A4A2A"/>
    <w:lvl w:ilvl="0" w:tplc="04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36157121"/>
    <w:multiLevelType w:val="hybridMultilevel"/>
    <w:tmpl w:val="8EB66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63A0578"/>
    <w:multiLevelType w:val="hybridMultilevel"/>
    <w:tmpl w:val="0994B12E"/>
    <w:lvl w:ilvl="0" w:tplc="04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7016757"/>
    <w:multiLevelType w:val="hybridMultilevel"/>
    <w:tmpl w:val="8356DBD0"/>
    <w:lvl w:ilvl="0" w:tplc="B80E9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D50015"/>
    <w:multiLevelType w:val="hybridMultilevel"/>
    <w:tmpl w:val="E6247762"/>
    <w:lvl w:ilvl="0" w:tplc="04090001">
      <w:start w:val="1"/>
      <w:numFmt w:val="bullet"/>
      <w:lvlText w:val=""/>
      <w:lvlJc w:val="left"/>
      <w:pPr>
        <w:ind w:left="360" w:hanging="360"/>
      </w:pPr>
      <w:rPr>
        <w:rFonts w:ascii="Symbol" w:hAnsi="Symbol" w:hint="default"/>
      </w:rPr>
    </w:lvl>
    <w:lvl w:ilvl="1" w:tplc="05828F1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A383D3F"/>
    <w:multiLevelType w:val="hybridMultilevel"/>
    <w:tmpl w:val="4E52011E"/>
    <w:lvl w:ilvl="0" w:tplc="9D5AF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8366E2"/>
    <w:multiLevelType w:val="hybridMultilevel"/>
    <w:tmpl w:val="2BC8DD4E"/>
    <w:lvl w:ilvl="0" w:tplc="9D5AF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3E4A4D"/>
    <w:multiLevelType w:val="hybridMultilevel"/>
    <w:tmpl w:val="5EC6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2D2C1D"/>
    <w:multiLevelType w:val="hybridMultilevel"/>
    <w:tmpl w:val="56E869B2"/>
    <w:lvl w:ilvl="0" w:tplc="04090001">
      <w:start w:val="1"/>
      <w:numFmt w:val="bullet"/>
      <w:lvlText w:val=""/>
      <w:lvlJc w:val="left"/>
      <w:pPr>
        <w:ind w:left="360" w:hanging="360"/>
      </w:pPr>
      <w:rPr>
        <w:rFonts w:ascii="Symbol" w:hAnsi="Symbol" w:hint="default"/>
      </w:rPr>
    </w:lvl>
    <w:lvl w:ilvl="1" w:tplc="4580AE7E">
      <w:start w:val="1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1551E49"/>
    <w:multiLevelType w:val="hybridMultilevel"/>
    <w:tmpl w:val="314ED92E"/>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1910831"/>
    <w:multiLevelType w:val="hybridMultilevel"/>
    <w:tmpl w:val="89CE75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20629BD"/>
    <w:multiLevelType w:val="hybridMultilevel"/>
    <w:tmpl w:val="39EC88CA"/>
    <w:lvl w:ilvl="0" w:tplc="DC342F2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429E586A"/>
    <w:multiLevelType w:val="hybridMultilevel"/>
    <w:tmpl w:val="5264242A"/>
    <w:lvl w:ilvl="0" w:tplc="04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42E46F49"/>
    <w:multiLevelType w:val="hybridMultilevel"/>
    <w:tmpl w:val="EA58D404"/>
    <w:lvl w:ilvl="0" w:tplc="E64ED632">
      <w:start w:val="1"/>
      <w:numFmt w:val="lowerRoman"/>
      <w:lvlText w:val="%1."/>
      <w:lvlJc w:val="left"/>
      <w:pPr>
        <w:ind w:left="1363" w:hanging="72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abstractNum w:abstractNumId="54" w15:restartNumberingAfterBreak="0">
    <w:nsid w:val="44B22E1C"/>
    <w:multiLevelType w:val="hybridMultilevel"/>
    <w:tmpl w:val="76588920"/>
    <w:lvl w:ilvl="0" w:tplc="9D5AF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D69DF"/>
    <w:multiLevelType w:val="multilevel"/>
    <w:tmpl w:val="9D1C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A17E83"/>
    <w:multiLevelType w:val="multilevel"/>
    <w:tmpl w:val="96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011436"/>
    <w:multiLevelType w:val="hybridMultilevel"/>
    <w:tmpl w:val="2C761778"/>
    <w:lvl w:ilvl="0" w:tplc="32A2DE8C">
      <w:start w:val="1"/>
      <w:numFmt w:val="lowerLetter"/>
      <w:lvlText w:val="(%1)"/>
      <w:lvlJc w:val="left"/>
      <w:pPr>
        <w:ind w:left="720" w:hanging="360"/>
      </w:pPr>
      <w:rPr>
        <w:rFonts w:hint="default"/>
      </w:rPr>
    </w:lvl>
    <w:lvl w:ilvl="1" w:tplc="32A2DE8C">
      <w:start w:val="1"/>
      <w:numFmt w:val="lowerLetter"/>
      <w:lvlText w:val="(%2)"/>
      <w:lvlJc w:val="left"/>
      <w:pPr>
        <w:ind w:left="1440" w:hanging="360"/>
      </w:pPr>
      <w:rPr>
        <w:rFonts w:hint="default"/>
      </w:rPr>
    </w:lvl>
    <w:lvl w:ilvl="2" w:tplc="CB18F29E">
      <w:start w:val="55"/>
      <w:numFmt w:val="decimal"/>
      <w:lvlText w:val="%3"/>
      <w:lvlJc w:val="left"/>
      <w:pPr>
        <w:ind w:left="2340" w:hanging="360"/>
      </w:pPr>
      <w:rPr>
        <w:rFonts w:hint="default"/>
      </w:rPr>
    </w:lvl>
    <w:lvl w:ilvl="3" w:tplc="CEA2B97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352B7"/>
    <w:multiLevelType w:val="hybridMultilevel"/>
    <w:tmpl w:val="F756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746B39"/>
    <w:multiLevelType w:val="hybridMultilevel"/>
    <w:tmpl w:val="F5964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CFD4E5F"/>
    <w:multiLevelType w:val="hybridMultilevel"/>
    <w:tmpl w:val="CE9A8EDC"/>
    <w:lvl w:ilvl="0" w:tplc="373A211C">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13046A"/>
    <w:multiLevelType w:val="hybridMultilevel"/>
    <w:tmpl w:val="2BAAA400"/>
    <w:lvl w:ilvl="0" w:tplc="A8149FD8">
      <w:start w:val="6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556595"/>
    <w:multiLevelType w:val="hybridMultilevel"/>
    <w:tmpl w:val="CDE20758"/>
    <w:lvl w:ilvl="0" w:tplc="32A2D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5C72F4"/>
    <w:multiLevelType w:val="multilevel"/>
    <w:tmpl w:val="74A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8869CC"/>
    <w:multiLevelType w:val="hybridMultilevel"/>
    <w:tmpl w:val="1FB4B37C"/>
    <w:lvl w:ilvl="0" w:tplc="49A4AEF6">
      <w:start w:val="4"/>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847CE1"/>
    <w:multiLevelType w:val="hybridMultilevel"/>
    <w:tmpl w:val="4610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A43FE7"/>
    <w:multiLevelType w:val="hybridMultilevel"/>
    <w:tmpl w:val="2A6E3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1FD15EE"/>
    <w:multiLevelType w:val="hybridMultilevel"/>
    <w:tmpl w:val="BF9C6866"/>
    <w:lvl w:ilvl="0" w:tplc="9D5AF232">
      <w:start w:val="1"/>
      <w:numFmt w:val="decimal"/>
      <w:lvlText w:val="(%1)"/>
      <w:lvlJc w:val="left"/>
      <w:pPr>
        <w:ind w:left="360" w:hanging="360"/>
      </w:pPr>
      <w:rPr>
        <w:rFonts w:hint="default"/>
      </w:rPr>
    </w:lvl>
    <w:lvl w:ilvl="1" w:tplc="B85E7CEC">
      <w:start w:val="1"/>
      <w:numFmt w:val="lowerLetter"/>
      <w:lvlText w:val="(%2)"/>
      <w:lvlJc w:val="left"/>
      <w:pPr>
        <w:ind w:left="1786" w:hanging="106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3E71843"/>
    <w:multiLevelType w:val="hybridMultilevel"/>
    <w:tmpl w:val="11C658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45B7B15"/>
    <w:multiLevelType w:val="hybridMultilevel"/>
    <w:tmpl w:val="48B0128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7541DA"/>
    <w:multiLevelType w:val="hybridMultilevel"/>
    <w:tmpl w:val="823804D6"/>
    <w:lvl w:ilvl="0" w:tplc="9D5AF232">
      <w:start w:val="1"/>
      <w:numFmt w:val="decimal"/>
      <w:lvlText w:val="(%1)"/>
      <w:lvlJc w:val="left"/>
      <w:pPr>
        <w:ind w:left="360" w:hanging="360"/>
      </w:pPr>
      <w:rPr>
        <w:rFonts w:hint="default"/>
      </w:rPr>
    </w:lvl>
    <w:lvl w:ilvl="1" w:tplc="B85E7CEC">
      <w:start w:val="1"/>
      <w:numFmt w:val="lowerLetter"/>
      <w:lvlText w:val="(%2)"/>
      <w:lvlJc w:val="left"/>
      <w:pPr>
        <w:ind w:left="1786" w:hanging="106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5804CDC"/>
    <w:multiLevelType w:val="multilevel"/>
    <w:tmpl w:val="BD4E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00E89"/>
    <w:multiLevelType w:val="multilevel"/>
    <w:tmpl w:val="95E2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B1667A"/>
    <w:multiLevelType w:val="hybridMultilevel"/>
    <w:tmpl w:val="A7608D92"/>
    <w:lvl w:ilvl="0" w:tplc="39804392">
      <w:start w:val="3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2130F5"/>
    <w:multiLevelType w:val="hybridMultilevel"/>
    <w:tmpl w:val="D4C4EA78"/>
    <w:lvl w:ilvl="0" w:tplc="253610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3B106C"/>
    <w:multiLevelType w:val="hybridMultilevel"/>
    <w:tmpl w:val="49CA31E4"/>
    <w:lvl w:ilvl="0" w:tplc="9D2650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6E40C6"/>
    <w:multiLevelType w:val="hybridMultilevel"/>
    <w:tmpl w:val="E1F4E4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9500AB6"/>
    <w:multiLevelType w:val="hybridMultilevel"/>
    <w:tmpl w:val="34AE5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B581134"/>
    <w:multiLevelType w:val="hybridMultilevel"/>
    <w:tmpl w:val="3D1CD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BB1720C"/>
    <w:multiLevelType w:val="multilevel"/>
    <w:tmpl w:val="1B3C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3939CB"/>
    <w:multiLevelType w:val="multilevel"/>
    <w:tmpl w:val="A262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670D58"/>
    <w:multiLevelType w:val="hybridMultilevel"/>
    <w:tmpl w:val="47E0AF8E"/>
    <w:lvl w:ilvl="0" w:tplc="903824B2">
      <w:start w:val="6"/>
      <w:numFmt w:val="low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7177C1"/>
    <w:multiLevelType w:val="hybridMultilevel"/>
    <w:tmpl w:val="DBCE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8B6501"/>
    <w:multiLevelType w:val="hybridMultilevel"/>
    <w:tmpl w:val="74BCCF46"/>
    <w:lvl w:ilvl="0" w:tplc="52947880">
      <w:start w:val="9"/>
      <w:numFmt w:val="low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EA47665"/>
    <w:multiLevelType w:val="hybridMultilevel"/>
    <w:tmpl w:val="96409FEE"/>
    <w:lvl w:ilvl="0" w:tplc="8D905F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ED6CF1"/>
    <w:multiLevelType w:val="hybridMultilevel"/>
    <w:tmpl w:val="68365C06"/>
    <w:lvl w:ilvl="0" w:tplc="04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60252FBA"/>
    <w:multiLevelType w:val="multilevel"/>
    <w:tmpl w:val="3DA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A60AB4"/>
    <w:multiLevelType w:val="hybridMultilevel"/>
    <w:tmpl w:val="8030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BF4922"/>
    <w:multiLevelType w:val="hybridMultilevel"/>
    <w:tmpl w:val="B91C0E44"/>
    <w:lvl w:ilvl="0" w:tplc="D460E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555035"/>
    <w:multiLevelType w:val="hybridMultilevel"/>
    <w:tmpl w:val="8446DA08"/>
    <w:lvl w:ilvl="0" w:tplc="C204C3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1990870"/>
    <w:multiLevelType w:val="hybridMultilevel"/>
    <w:tmpl w:val="E37456B8"/>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4E6268"/>
    <w:multiLevelType w:val="hybridMultilevel"/>
    <w:tmpl w:val="DF021414"/>
    <w:lvl w:ilvl="0" w:tplc="551CA8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D527E6"/>
    <w:multiLevelType w:val="hybridMultilevel"/>
    <w:tmpl w:val="AE6020BC"/>
    <w:lvl w:ilvl="0" w:tplc="FABA6FD6">
      <w:start w:val="3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5969B1"/>
    <w:multiLevelType w:val="hybridMultilevel"/>
    <w:tmpl w:val="F1CEFEEA"/>
    <w:lvl w:ilvl="0" w:tplc="4BEE7D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B74424"/>
    <w:multiLevelType w:val="hybridMultilevel"/>
    <w:tmpl w:val="97C0477E"/>
    <w:lvl w:ilvl="0" w:tplc="5E74F80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D50C19"/>
    <w:multiLevelType w:val="multilevel"/>
    <w:tmpl w:val="9960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FA7019"/>
    <w:multiLevelType w:val="multilevel"/>
    <w:tmpl w:val="940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AA2DF9"/>
    <w:multiLevelType w:val="hybridMultilevel"/>
    <w:tmpl w:val="D1426366"/>
    <w:lvl w:ilvl="0" w:tplc="8D905F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FD47504"/>
    <w:multiLevelType w:val="hybridMultilevel"/>
    <w:tmpl w:val="E3BAE24C"/>
    <w:lvl w:ilvl="0" w:tplc="42D2E0C8">
      <w:start w:val="1"/>
      <w:numFmt w:val="upp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C62230"/>
    <w:multiLevelType w:val="hybridMultilevel"/>
    <w:tmpl w:val="8946AA3A"/>
    <w:lvl w:ilvl="0" w:tplc="32A2DE8C">
      <w:start w:val="1"/>
      <w:numFmt w:val="lowerLetter"/>
      <w:lvlText w:val="(%1)"/>
      <w:lvlJc w:val="left"/>
      <w:pPr>
        <w:ind w:left="1241" w:hanging="360"/>
      </w:pPr>
      <w:rPr>
        <w:rFonts w:hint="default"/>
      </w:rPr>
    </w:lvl>
    <w:lvl w:ilvl="1" w:tplc="32A2DE8C">
      <w:start w:val="1"/>
      <w:numFmt w:val="lowerLetter"/>
      <w:lvlText w:val="(%2)"/>
      <w:lvlJc w:val="left"/>
      <w:pPr>
        <w:ind w:left="1961" w:hanging="360"/>
      </w:pPr>
      <w:rPr>
        <w:rFonts w:hint="default"/>
      </w:r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100" w15:restartNumberingAfterBreak="0">
    <w:nsid w:val="724B0A10"/>
    <w:multiLevelType w:val="hybridMultilevel"/>
    <w:tmpl w:val="79948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57C6E32"/>
    <w:multiLevelType w:val="multilevel"/>
    <w:tmpl w:val="8F42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907299"/>
    <w:multiLevelType w:val="multilevel"/>
    <w:tmpl w:val="73B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4751BA"/>
    <w:multiLevelType w:val="hybridMultilevel"/>
    <w:tmpl w:val="2D3E2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86A3A42"/>
    <w:multiLevelType w:val="hybridMultilevel"/>
    <w:tmpl w:val="D796337A"/>
    <w:lvl w:ilvl="0" w:tplc="0409001B">
      <w:start w:val="1"/>
      <w:numFmt w:val="lowerRoman"/>
      <w:lvlText w:val="%1."/>
      <w:lvlJc w:val="right"/>
      <w:pPr>
        <w:ind w:left="2506" w:hanging="360"/>
      </w:pPr>
    </w:lvl>
    <w:lvl w:ilvl="1" w:tplc="04090019" w:tentative="1">
      <w:start w:val="1"/>
      <w:numFmt w:val="lowerLetter"/>
      <w:lvlText w:val="%2."/>
      <w:lvlJc w:val="left"/>
      <w:pPr>
        <w:ind w:left="3226" w:hanging="360"/>
      </w:pPr>
    </w:lvl>
    <w:lvl w:ilvl="2" w:tplc="0409001B" w:tentative="1">
      <w:start w:val="1"/>
      <w:numFmt w:val="lowerRoman"/>
      <w:lvlText w:val="%3."/>
      <w:lvlJc w:val="right"/>
      <w:pPr>
        <w:ind w:left="3946" w:hanging="180"/>
      </w:pPr>
    </w:lvl>
    <w:lvl w:ilvl="3" w:tplc="0409000F" w:tentative="1">
      <w:start w:val="1"/>
      <w:numFmt w:val="decimal"/>
      <w:lvlText w:val="%4."/>
      <w:lvlJc w:val="left"/>
      <w:pPr>
        <w:ind w:left="4666" w:hanging="360"/>
      </w:pPr>
    </w:lvl>
    <w:lvl w:ilvl="4" w:tplc="04090019" w:tentative="1">
      <w:start w:val="1"/>
      <w:numFmt w:val="lowerLetter"/>
      <w:lvlText w:val="%5."/>
      <w:lvlJc w:val="left"/>
      <w:pPr>
        <w:ind w:left="5386" w:hanging="360"/>
      </w:pPr>
    </w:lvl>
    <w:lvl w:ilvl="5" w:tplc="0409001B" w:tentative="1">
      <w:start w:val="1"/>
      <w:numFmt w:val="lowerRoman"/>
      <w:lvlText w:val="%6."/>
      <w:lvlJc w:val="right"/>
      <w:pPr>
        <w:ind w:left="6106" w:hanging="180"/>
      </w:p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105" w15:restartNumberingAfterBreak="0">
    <w:nsid w:val="796A1FA9"/>
    <w:multiLevelType w:val="multilevel"/>
    <w:tmpl w:val="9E82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6F61C8"/>
    <w:multiLevelType w:val="hybridMultilevel"/>
    <w:tmpl w:val="4DA2C160"/>
    <w:lvl w:ilvl="0" w:tplc="5AD2A2A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7AA904C5"/>
    <w:multiLevelType w:val="hybridMultilevel"/>
    <w:tmpl w:val="DF986804"/>
    <w:lvl w:ilvl="0" w:tplc="253610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EEA2EB3"/>
    <w:multiLevelType w:val="hybridMultilevel"/>
    <w:tmpl w:val="94864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F217001"/>
    <w:multiLevelType w:val="hybridMultilevel"/>
    <w:tmpl w:val="8A3E1142"/>
    <w:lvl w:ilvl="0" w:tplc="07C466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593B93"/>
    <w:multiLevelType w:val="hybridMultilevel"/>
    <w:tmpl w:val="7EF4EA6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C88E744E">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7A33C3"/>
    <w:multiLevelType w:val="hybridMultilevel"/>
    <w:tmpl w:val="19E82608"/>
    <w:lvl w:ilvl="0" w:tplc="340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FAD6B99"/>
    <w:multiLevelType w:val="multilevel"/>
    <w:tmpl w:val="48CC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460625">
    <w:abstractNumId w:val="58"/>
  </w:num>
  <w:num w:numId="2" w16cid:durableId="1232346354">
    <w:abstractNumId w:val="31"/>
  </w:num>
  <w:num w:numId="3" w16cid:durableId="515309902">
    <w:abstractNumId w:val="11"/>
  </w:num>
  <w:num w:numId="4" w16cid:durableId="994606168">
    <w:abstractNumId w:val="43"/>
  </w:num>
  <w:num w:numId="5" w16cid:durableId="1253467091">
    <w:abstractNumId w:val="50"/>
  </w:num>
  <w:num w:numId="6" w16cid:durableId="43872227">
    <w:abstractNumId w:val="41"/>
  </w:num>
  <w:num w:numId="7" w16cid:durableId="145587629">
    <w:abstractNumId w:val="59"/>
  </w:num>
  <w:num w:numId="8" w16cid:durableId="907305705">
    <w:abstractNumId w:val="29"/>
  </w:num>
  <w:num w:numId="9" w16cid:durableId="1455253722">
    <w:abstractNumId w:val="108"/>
  </w:num>
  <w:num w:numId="10" w16cid:durableId="868760295">
    <w:abstractNumId w:val="47"/>
  </w:num>
  <w:num w:numId="11" w16cid:durableId="688486812">
    <w:abstractNumId w:val="78"/>
  </w:num>
  <w:num w:numId="12" w16cid:durableId="549532280">
    <w:abstractNumId w:val="44"/>
  </w:num>
  <w:num w:numId="13" w16cid:durableId="419378536">
    <w:abstractNumId w:val="76"/>
  </w:num>
  <w:num w:numId="14" w16cid:durableId="834422747">
    <w:abstractNumId w:val="7"/>
  </w:num>
  <w:num w:numId="15" w16cid:durableId="1194002606">
    <w:abstractNumId w:val="25"/>
  </w:num>
  <w:num w:numId="16" w16cid:durableId="847987273">
    <w:abstractNumId w:val="77"/>
  </w:num>
  <w:num w:numId="17" w16cid:durableId="1064137537">
    <w:abstractNumId w:val="103"/>
  </w:num>
  <w:num w:numId="18" w16cid:durableId="856769256">
    <w:abstractNumId w:val="30"/>
  </w:num>
  <w:num w:numId="19" w16cid:durableId="1389647272">
    <w:abstractNumId w:val="66"/>
  </w:num>
  <w:num w:numId="20" w16cid:durableId="1021974000">
    <w:abstractNumId w:val="34"/>
  </w:num>
  <w:num w:numId="21" w16cid:durableId="700394597">
    <w:abstractNumId w:val="84"/>
  </w:num>
  <w:num w:numId="22" w16cid:durableId="672533973">
    <w:abstractNumId w:val="97"/>
  </w:num>
  <w:num w:numId="23" w16cid:durableId="605967220">
    <w:abstractNumId w:val="10"/>
  </w:num>
  <w:num w:numId="24" w16cid:durableId="1146631013">
    <w:abstractNumId w:val="46"/>
  </w:num>
  <w:num w:numId="25" w16cid:durableId="511337266">
    <w:abstractNumId w:val="37"/>
  </w:num>
  <w:num w:numId="26" w16cid:durableId="254872118">
    <w:abstractNumId w:val="54"/>
  </w:num>
  <w:num w:numId="27" w16cid:durableId="1114136037">
    <w:abstractNumId w:val="27"/>
  </w:num>
  <w:num w:numId="28" w16cid:durableId="2091001035">
    <w:abstractNumId w:val="107"/>
  </w:num>
  <w:num w:numId="29" w16cid:durableId="883248751">
    <w:abstractNumId w:val="28"/>
  </w:num>
  <w:num w:numId="30" w16cid:durableId="1990746792">
    <w:abstractNumId w:val="8"/>
  </w:num>
  <w:num w:numId="31" w16cid:durableId="970480001">
    <w:abstractNumId w:val="70"/>
  </w:num>
  <w:num w:numId="32" w16cid:durableId="102382989">
    <w:abstractNumId w:val="104"/>
  </w:num>
  <w:num w:numId="33" w16cid:durableId="1129782273">
    <w:abstractNumId w:val="100"/>
  </w:num>
  <w:num w:numId="34" w16cid:durableId="563834290">
    <w:abstractNumId w:val="95"/>
  </w:num>
  <w:num w:numId="35" w16cid:durableId="1962109911">
    <w:abstractNumId w:val="79"/>
  </w:num>
  <w:num w:numId="36" w16cid:durableId="627468790">
    <w:abstractNumId w:val="22"/>
  </w:num>
  <w:num w:numId="37" w16cid:durableId="956529176">
    <w:abstractNumId w:val="86"/>
  </w:num>
  <w:num w:numId="38" w16cid:durableId="1182470778">
    <w:abstractNumId w:val="71"/>
  </w:num>
  <w:num w:numId="39" w16cid:durableId="1812136289">
    <w:abstractNumId w:val="81"/>
  </w:num>
  <w:num w:numId="40" w16cid:durableId="979581261">
    <w:abstractNumId w:val="0"/>
  </w:num>
  <w:num w:numId="41" w16cid:durableId="1590700621">
    <w:abstractNumId w:val="92"/>
  </w:num>
  <w:num w:numId="42" w16cid:durableId="757019408">
    <w:abstractNumId w:val="94"/>
  </w:num>
  <w:num w:numId="43" w16cid:durableId="1861049259">
    <w:abstractNumId w:val="64"/>
  </w:num>
  <w:num w:numId="44" w16cid:durableId="974993019">
    <w:abstractNumId w:val="61"/>
  </w:num>
  <w:num w:numId="45" w16cid:durableId="107555227">
    <w:abstractNumId w:val="109"/>
  </w:num>
  <w:num w:numId="46" w16cid:durableId="1814180175">
    <w:abstractNumId w:val="60"/>
  </w:num>
  <w:num w:numId="47" w16cid:durableId="1349983740">
    <w:abstractNumId w:val="73"/>
  </w:num>
  <w:num w:numId="48" w16cid:durableId="921913815">
    <w:abstractNumId w:val="16"/>
  </w:num>
  <w:num w:numId="49" w16cid:durableId="713307464">
    <w:abstractNumId w:val="5"/>
  </w:num>
  <w:num w:numId="50" w16cid:durableId="1790776352">
    <w:abstractNumId w:val="90"/>
  </w:num>
  <w:num w:numId="51" w16cid:durableId="1192187361">
    <w:abstractNumId w:val="93"/>
  </w:num>
  <w:num w:numId="52" w16cid:durableId="361325900">
    <w:abstractNumId w:val="68"/>
  </w:num>
  <w:num w:numId="53" w16cid:durableId="1358653248">
    <w:abstractNumId w:val="36"/>
  </w:num>
  <w:num w:numId="54" w16cid:durableId="1835679782">
    <w:abstractNumId w:val="110"/>
  </w:num>
  <w:num w:numId="55" w16cid:durableId="1063410193">
    <w:abstractNumId w:val="75"/>
  </w:num>
  <w:num w:numId="56" w16cid:durableId="165632576">
    <w:abstractNumId w:val="83"/>
  </w:num>
  <w:num w:numId="57" w16cid:durableId="1900359209">
    <w:abstractNumId w:val="32"/>
  </w:num>
  <w:num w:numId="58" w16cid:durableId="216164497">
    <w:abstractNumId w:val="12"/>
  </w:num>
  <w:num w:numId="59" w16cid:durableId="1684353172">
    <w:abstractNumId w:val="26"/>
  </w:num>
  <w:num w:numId="60" w16cid:durableId="2018993140">
    <w:abstractNumId w:val="65"/>
  </w:num>
  <w:num w:numId="61" w16cid:durableId="151066152">
    <w:abstractNumId w:val="98"/>
  </w:num>
  <w:num w:numId="62" w16cid:durableId="1317761404">
    <w:abstractNumId w:val="87"/>
  </w:num>
  <w:num w:numId="63" w16cid:durableId="2145850345">
    <w:abstractNumId w:val="91"/>
  </w:num>
  <w:num w:numId="64" w16cid:durableId="1187213412">
    <w:abstractNumId w:val="20"/>
  </w:num>
  <w:num w:numId="65" w16cid:durableId="1740517697">
    <w:abstractNumId w:val="18"/>
  </w:num>
  <w:num w:numId="66" w16cid:durableId="1212113407">
    <w:abstractNumId w:val="88"/>
  </w:num>
  <w:num w:numId="67" w16cid:durableId="62218309">
    <w:abstractNumId w:val="15"/>
  </w:num>
  <w:num w:numId="68" w16cid:durableId="1172843129">
    <w:abstractNumId w:val="67"/>
  </w:num>
  <w:num w:numId="69" w16cid:durableId="1151407691">
    <w:abstractNumId w:val="57"/>
  </w:num>
  <w:num w:numId="70" w16cid:durableId="722676690">
    <w:abstractNumId w:val="45"/>
  </w:num>
  <w:num w:numId="71" w16cid:durableId="224876810">
    <w:abstractNumId w:val="99"/>
  </w:num>
  <w:num w:numId="72" w16cid:durableId="269972474">
    <w:abstractNumId w:val="3"/>
  </w:num>
  <w:num w:numId="73" w16cid:durableId="961225368">
    <w:abstractNumId w:val="14"/>
  </w:num>
  <w:num w:numId="74" w16cid:durableId="932930655">
    <w:abstractNumId w:val="62"/>
  </w:num>
  <w:num w:numId="75" w16cid:durableId="344677354">
    <w:abstractNumId w:val="74"/>
  </w:num>
  <w:num w:numId="76" w16cid:durableId="1330985554">
    <w:abstractNumId w:val="33"/>
  </w:num>
  <w:num w:numId="77" w16cid:durableId="686256591">
    <w:abstractNumId w:val="53"/>
  </w:num>
  <w:num w:numId="78" w16cid:durableId="1036395092">
    <w:abstractNumId w:val="51"/>
  </w:num>
  <w:num w:numId="79" w16cid:durableId="1280260172">
    <w:abstractNumId w:val="89"/>
  </w:num>
  <w:num w:numId="80" w16cid:durableId="912007360">
    <w:abstractNumId w:val="24"/>
  </w:num>
  <w:num w:numId="81" w16cid:durableId="518854773">
    <w:abstractNumId w:val="49"/>
  </w:num>
  <w:num w:numId="82" w16cid:durableId="1677538237">
    <w:abstractNumId w:val="82"/>
  </w:num>
  <w:num w:numId="83" w16cid:durableId="758676502">
    <w:abstractNumId w:val="111"/>
  </w:num>
  <w:num w:numId="84" w16cid:durableId="1685980722">
    <w:abstractNumId w:val="17"/>
  </w:num>
  <w:num w:numId="85" w16cid:durableId="1752702246">
    <w:abstractNumId w:val="85"/>
  </w:num>
  <w:num w:numId="86" w16cid:durableId="1352537084">
    <w:abstractNumId w:val="40"/>
  </w:num>
  <w:num w:numId="87" w16cid:durableId="1792436207">
    <w:abstractNumId w:val="106"/>
  </w:num>
  <w:num w:numId="88" w16cid:durableId="20202603">
    <w:abstractNumId w:val="52"/>
  </w:num>
  <w:num w:numId="89" w16cid:durableId="41444453">
    <w:abstractNumId w:val="42"/>
  </w:num>
  <w:num w:numId="90" w16cid:durableId="833571210">
    <w:abstractNumId w:val="4"/>
  </w:num>
  <w:num w:numId="91" w16cid:durableId="192158287">
    <w:abstractNumId w:val="69"/>
  </w:num>
  <w:num w:numId="92" w16cid:durableId="256863653">
    <w:abstractNumId w:val="9"/>
  </w:num>
  <w:num w:numId="93" w16cid:durableId="467092702">
    <w:abstractNumId w:val="80"/>
  </w:num>
  <w:num w:numId="94" w16cid:durableId="493453114">
    <w:abstractNumId w:val="23"/>
  </w:num>
  <w:num w:numId="95" w16cid:durableId="689524813">
    <w:abstractNumId w:val="2"/>
  </w:num>
  <w:num w:numId="96" w16cid:durableId="1528526118">
    <w:abstractNumId w:val="101"/>
  </w:num>
  <w:num w:numId="97" w16cid:durableId="2053993420">
    <w:abstractNumId w:val="105"/>
  </w:num>
  <w:num w:numId="98" w16cid:durableId="1016347315">
    <w:abstractNumId w:val="55"/>
  </w:num>
  <w:num w:numId="99" w16cid:durableId="1239562656">
    <w:abstractNumId w:val="96"/>
  </w:num>
  <w:num w:numId="100" w16cid:durableId="385179686">
    <w:abstractNumId w:val="19"/>
  </w:num>
  <w:num w:numId="101" w16cid:durableId="1373265240">
    <w:abstractNumId w:val="63"/>
  </w:num>
  <w:num w:numId="102" w16cid:durableId="1424767933">
    <w:abstractNumId w:val="39"/>
  </w:num>
  <w:num w:numId="103" w16cid:durableId="1917352684">
    <w:abstractNumId w:val="6"/>
  </w:num>
  <w:num w:numId="104" w16cid:durableId="1079715069">
    <w:abstractNumId w:val="35"/>
  </w:num>
  <w:num w:numId="105" w16cid:durableId="2121289724">
    <w:abstractNumId w:val="21"/>
  </w:num>
  <w:num w:numId="106" w16cid:durableId="948243351">
    <w:abstractNumId w:val="112"/>
  </w:num>
  <w:num w:numId="107" w16cid:durableId="1649047004">
    <w:abstractNumId w:val="13"/>
  </w:num>
  <w:num w:numId="108" w16cid:durableId="2004048600">
    <w:abstractNumId w:val="38"/>
  </w:num>
  <w:num w:numId="109" w16cid:durableId="125204179">
    <w:abstractNumId w:val="56"/>
  </w:num>
  <w:num w:numId="110" w16cid:durableId="110511968">
    <w:abstractNumId w:val="72"/>
  </w:num>
  <w:num w:numId="111" w16cid:durableId="365298854">
    <w:abstractNumId w:val="102"/>
  </w:num>
  <w:num w:numId="112" w16cid:durableId="1635795713">
    <w:abstractNumId w:val="48"/>
  </w:num>
  <w:num w:numId="113" w16cid:durableId="2089185410">
    <w:abstractNumId w:val="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CL"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3C"/>
    <w:rsid w:val="000014BF"/>
    <w:rsid w:val="000017A5"/>
    <w:rsid w:val="00002187"/>
    <w:rsid w:val="000021B9"/>
    <w:rsid w:val="000027BD"/>
    <w:rsid w:val="00002AA4"/>
    <w:rsid w:val="000035DF"/>
    <w:rsid w:val="00003DF3"/>
    <w:rsid w:val="00004A78"/>
    <w:rsid w:val="00004B76"/>
    <w:rsid w:val="00004E86"/>
    <w:rsid w:val="0000507F"/>
    <w:rsid w:val="0000741E"/>
    <w:rsid w:val="00010ECF"/>
    <w:rsid w:val="00011245"/>
    <w:rsid w:val="000113D9"/>
    <w:rsid w:val="00011494"/>
    <w:rsid w:val="00014D28"/>
    <w:rsid w:val="00015FEC"/>
    <w:rsid w:val="00016385"/>
    <w:rsid w:val="00016604"/>
    <w:rsid w:val="00016D55"/>
    <w:rsid w:val="0001770E"/>
    <w:rsid w:val="00020047"/>
    <w:rsid w:val="000213A4"/>
    <w:rsid w:val="00021661"/>
    <w:rsid w:val="00023EE0"/>
    <w:rsid w:val="00024C31"/>
    <w:rsid w:val="00025163"/>
    <w:rsid w:val="00025DEF"/>
    <w:rsid w:val="00026090"/>
    <w:rsid w:val="00026299"/>
    <w:rsid w:val="00026CBD"/>
    <w:rsid w:val="00027F42"/>
    <w:rsid w:val="0003004F"/>
    <w:rsid w:val="0003071A"/>
    <w:rsid w:val="00030885"/>
    <w:rsid w:val="00030EB3"/>
    <w:rsid w:val="0003134B"/>
    <w:rsid w:val="000318C8"/>
    <w:rsid w:val="0003339A"/>
    <w:rsid w:val="00035DD1"/>
    <w:rsid w:val="00035F8A"/>
    <w:rsid w:val="000364F0"/>
    <w:rsid w:val="000367F5"/>
    <w:rsid w:val="00037A6E"/>
    <w:rsid w:val="00037E23"/>
    <w:rsid w:val="00040166"/>
    <w:rsid w:val="00040610"/>
    <w:rsid w:val="00040956"/>
    <w:rsid w:val="000413FD"/>
    <w:rsid w:val="00042008"/>
    <w:rsid w:val="00042DC2"/>
    <w:rsid w:val="000432A5"/>
    <w:rsid w:val="00043A31"/>
    <w:rsid w:val="000442E1"/>
    <w:rsid w:val="0004501C"/>
    <w:rsid w:val="000457B1"/>
    <w:rsid w:val="00046835"/>
    <w:rsid w:val="000469EA"/>
    <w:rsid w:val="000473D3"/>
    <w:rsid w:val="00047C25"/>
    <w:rsid w:val="0005022F"/>
    <w:rsid w:val="00050933"/>
    <w:rsid w:val="00051BD0"/>
    <w:rsid w:val="000522BA"/>
    <w:rsid w:val="000522FD"/>
    <w:rsid w:val="00052523"/>
    <w:rsid w:val="0005259B"/>
    <w:rsid w:val="000532FD"/>
    <w:rsid w:val="0005337B"/>
    <w:rsid w:val="00053838"/>
    <w:rsid w:val="00054FE6"/>
    <w:rsid w:val="00055063"/>
    <w:rsid w:val="0005567A"/>
    <w:rsid w:val="000569C9"/>
    <w:rsid w:val="00057A59"/>
    <w:rsid w:val="00057D75"/>
    <w:rsid w:val="00060246"/>
    <w:rsid w:val="00060C51"/>
    <w:rsid w:val="0006122E"/>
    <w:rsid w:val="00062286"/>
    <w:rsid w:val="00062524"/>
    <w:rsid w:val="00063359"/>
    <w:rsid w:val="0006360A"/>
    <w:rsid w:val="00063756"/>
    <w:rsid w:val="00063C49"/>
    <w:rsid w:val="00064CFF"/>
    <w:rsid w:val="0006637F"/>
    <w:rsid w:val="00067061"/>
    <w:rsid w:val="000672B1"/>
    <w:rsid w:val="000675DD"/>
    <w:rsid w:val="000707F4"/>
    <w:rsid w:val="0007097A"/>
    <w:rsid w:val="0007147A"/>
    <w:rsid w:val="000716AF"/>
    <w:rsid w:val="00072C32"/>
    <w:rsid w:val="0007385D"/>
    <w:rsid w:val="0007431F"/>
    <w:rsid w:val="000745D3"/>
    <w:rsid w:val="00074AFA"/>
    <w:rsid w:val="00074BF5"/>
    <w:rsid w:val="000755BA"/>
    <w:rsid w:val="00075CCD"/>
    <w:rsid w:val="00075FC4"/>
    <w:rsid w:val="0007686C"/>
    <w:rsid w:val="0007711E"/>
    <w:rsid w:val="0007789D"/>
    <w:rsid w:val="000808BB"/>
    <w:rsid w:val="00080F34"/>
    <w:rsid w:val="0008329B"/>
    <w:rsid w:val="00083499"/>
    <w:rsid w:val="000847D4"/>
    <w:rsid w:val="00084F4D"/>
    <w:rsid w:val="00085BEF"/>
    <w:rsid w:val="00086419"/>
    <w:rsid w:val="0008680B"/>
    <w:rsid w:val="00090E29"/>
    <w:rsid w:val="0009102F"/>
    <w:rsid w:val="00091467"/>
    <w:rsid w:val="0009190B"/>
    <w:rsid w:val="000919BD"/>
    <w:rsid w:val="000924BA"/>
    <w:rsid w:val="000925E6"/>
    <w:rsid w:val="00092E9F"/>
    <w:rsid w:val="00093C61"/>
    <w:rsid w:val="0009405E"/>
    <w:rsid w:val="000941CD"/>
    <w:rsid w:val="00094A92"/>
    <w:rsid w:val="0009579E"/>
    <w:rsid w:val="00097440"/>
    <w:rsid w:val="00097726"/>
    <w:rsid w:val="000A07D5"/>
    <w:rsid w:val="000A0910"/>
    <w:rsid w:val="000A0928"/>
    <w:rsid w:val="000A0EE2"/>
    <w:rsid w:val="000A1389"/>
    <w:rsid w:val="000A19D9"/>
    <w:rsid w:val="000A20F0"/>
    <w:rsid w:val="000A2B33"/>
    <w:rsid w:val="000A3F1B"/>
    <w:rsid w:val="000A416C"/>
    <w:rsid w:val="000A4921"/>
    <w:rsid w:val="000A4C72"/>
    <w:rsid w:val="000A4EE1"/>
    <w:rsid w:val="000A51D4"/>
    <w:rsid w:val="000A5EEF"/>
    <w:rsid w:val="000A6272"/>
    <w:rsid w:val="000A768C"/>
    <w:rsid w:val="000A76BA"/>
    <w:rsid w:val="000B0046"/>
    <w:rsid w:val="000B022F"/>
    <w:rsid w:val="000B0358"/>
    <w:rsid w:val="000B089B"/>
    <w:rsid w:val="000B3136"/>
    <w:rsid w:val="000B3751"/>
    <w:rsid w:val="000B4EF5"/>
    <w:rsid w:val="000B501D"/>
    <w:rsid w:val="000B5841"/>
    <w:rsid w:val="000B6313"/>
    <w:rsid w:val="000B6847"/>
    <w:rsid w:val="000B6D77"/>
    <w:rsid w:val="000C0A72"/>
    <w:rsid w:val="000C10EF"/>
    <w:rsid w:val="000C3AB3"/>
    <w:rsid w:val="000C3DCB"/>
    <w:rsid w:val="000C4181"/>
    <w:rsid w:val="000C441C"/>
    <w:rsid w:val="000C4497"/>
    <w:rsid w:val="000C4A4F"/>
    <w:rsid w:val="000C4CA3"/>
    <w:rsid w:val="000C4DF3"/>
    <w:rsid w:val="000C5B01"/>
    <w:rsid w:val="000C64A2"/>
    <w:rsid w:val="000D006A"/>
    <w:rsid w:val="000D0550"/>
    <w:rsid w:val="000D1F94"/>
    <w:rsid w:val="000D1FF1"/>
    <w:rsid w:val="000D272D"/>
    <w:rsid w:val="000D3781"/>
    <w:rsid w:val="000D6EFD"/>
    <w:rsid w:val="000E0F4E"/>
    <w:rsid w:val="000E1074"/>
    <w:rsid w:val="000E17D1"/>
    <w:rsid w:val="000E1BE8"/>
    <w:rsid w:val="000E3571"/>
    <w:rsid w:val="000E38A6"/>
    <w:rsid w:val="000E3E18"/>
    <w:rsid w:val="000E3F8F"/>
    <w:rsid w:val="000E4C16"/>
    <w:rsid w:val="000E4E8E"/>
    <w:rsid w:val="000E5F24"/>
    <w:rsid w:val="000E612C"/>
    <w:rsid w:val="000E6F03"/>
    <w:rsid w:val="000E7B06"/>
    <w:rsid w:val="000F0570"/>
    <w:rsid w:val="000F05F3"/>
    <w:rsid w:val="000F1079"/>
    <w:rsid w:val="000F1232"/>
    <w:rsid w:val="000F19FD"/>
    <w:rsid w:val="000F230F"/>
    <w:rsid w:val="000F3107"/>
    <w:rsid w:val="000F3FA3"/>
    <w:rsid w:val="000F495E"/>
    <w:rsid w:val="000F7BF5"/>
    <w:rsid w:val="00100FF7"/>
    <w:rsid w:val="00102A82"/>
    <w:rsid w:val="00103D3D"/>
    <w:rsid w:val="001045A4"/>
    <w:rsid w:val="00104A1A"/>
    <w:rsid w:val="00104E02"/>
    <w:rsid w:val="00105B9F"/>
    <w:rsid w:val="00105D74"/>
    <w:rsid w:val="00106903"/>
    <w:rsid w:val="00107495"/>
    <w:rsid w:val="00107516"/>
    <w:rsid w:val="00107604"/>
    <w:rsid w:val="0010777C"/>
    <w:rsid w:val="00107FEC"/>
    <w:rsid w:val="0011069E"/>
    <w:rsid w:val="00110CE5"/>
    <w:rsid w:val="00110F13"/>
    <w:rsid w:val="001113B1"/>
    <w:rsid w:val="0011358F"/>
    <w:rsid w:val="00114AF0"/>
    <w:rsid w:val="001150D9"/>
    <w:rsid w:val="001155E8"/>
    <w:rsid w:val="00117310"/>
    <w:rsid w:val="001202CF"/>
    <w:rsid w:val="00120490"/>
    <w:rsid w:val="00120FC8"/>
    <w:rsid w:val="00121933"/>
    <w:rsid w:val="00122BB5"/>
    <w:rsid w:val="00123099"/>
    <w:rsid w:val="00123105"/>
    <w:rsid w:val="0012312B"/>
    <w:rsid w:val="001233A9"/>
    <w:rsid w:val="001239FB"/>
    <w:rsid w:val="00125B37"/>
    <w:rsid w:val="00125D11"/>
    <w:rsid w:val="00125DF2"/>
    <w:rsid w:val="00126272"/>
    <w:rsid w:val="00126940"/>
    <w:rsid w:val="0012784F"/>
    <w:rsid w:val="001279EC"/>
    <w:rsid w:val="00130269"/>
    <w:rsid w:val="0013044A"/>
    <w:rsid w:val="00130F66"/>
    <w:rsid w:val="0013185E"/>
    <w:rsid w:val="00131A7E"/>
    <w:rsid w:val="0013205B"/>
    <w:rsid w:val="001340AA"/>
    <w:rsid w:val="00134421"/>
    <w:rsid w:val="0014002C"/>
    <w:rsid w:val="001406CB"/>
    <w:rsid w:val="001413A4"/>
    <w:rsid w:val="00141C10"/>
    <w:rsid w:val="00141C63"/>
    <w:rsid w:val="001425AE"/>
    <w:rsid w:val="00143547"/>
    <w:rsid w:val="0014429E"/>
    <w:rsid w:val="00144F11"/>
    <w:rsid w:val="00145E8C"/>
    <w:rsid w:val="001466F1"/>
    <w:rsid w:val="0014694A"/>
    <w:rsid w:val="00146C57"/>
    <w:rsid w:val="00147347"/>
    <w:rsid w:val="00147B8B"/>
    <w:rsid w:val="00150B1D"/>
    <w:rsid w:val="00152BFA"/>
    <w:rsid w:val="00153092"/>
    <w:rsid w:val="00154760"/>
    <w:rsid w:val="001548C9"/>
    <w:rsid w:val="00154CEE"/>
    <w:rsid w:val="001552BB"/>
    <w:rsid w:val="0015640E"/>
    <w:rsid w:val="001565C3"/>
    <w:rsid w:val="001566BC"/>
    <w:rsid w:val="0015703F"/>
    <w:rsid w:val="00157678"/>
    <w:rsid w:val="00157B01"/>
    <w:rsid w:val="00157D22"/>
    <w:rsid w:val="00161318"/>
    <w:rsid w:val="00161963"/>
    <w:rsid w:val="00163464"/>
    <w:rsid w:val="00163571"/>
    <w:rsid w:val="00165718"/>
    <w:rsid w:val="00166034"/>
    <w:rsid w:val="00166C91"/>
    <w:rsid w:val="0016700F"/>
    <w:rsid w:val="00167CE3"/>
    <w:rsid w:val="00167E28"/>
    <w:rsid w:val="00167E9B"/>
    <w:rsid w:val="0017039B"/>
    <w:rsid w:val="00170400"/>
    <w:rsid w:val="00170451"/>
    <w:rsid w:val="001709DB"/>
    <w:rsid w:val="00171943"/>
    <w:rsid w:val="00171A17"/>
    <w:rsid w:val="00172681"/>
    <w:rsid w:val="00172CAE"/>
    <w:rsid w:val="001739B4"/>
    <w:rsid w:val="00173DDF"/>
    <w:rsid w:val="001742A4"/>
    <w:rsid w:val="00174AD1"/>
    <w:rsid w:val="00175650"/>
    <w:rsid w:val="00175CAA"/>
    <w:rsid w:val="00177144"/>
    <w:rsid w:val="0017768A"/>
    <w:rsid w:val="00177812"/>
    <w:rsid w:val="00177C45"/>
    <w:rsid w:val="00177F02"/>
    <w:rsid w:val="00177F4C"/>
    <w:rsid w:val="00181875"/>
    <w:rsid w:val="00181A2B"/>
    <w:rsid w:val="00182F42"/>
    <w:rsid w:val="001835B2"/>
    <w:rsid w:val="00183FC6"/>
    <w:rsid w:val="00185350"/>
    <w:rsid w:val="00185EEF"/>
    <w:rsid w:val="00186AB3"/>
    <w:rsid w:val="001870CD"/>
    <w:rsid w:val="0018727C"/>
    <w:rsid w:val="00187C71"/>
    <w:rsid w:val="00190076"/>
    <w:rsid w:val="0019095D"/>
    <w:rsid w:val="001909FD"/>
    <w:rsid w:val="00190CA0"/>
    <w:rsid w:val="001912C8"/>
    <w:rsid w:val="001913A6"/>
    <w:rsid w:val="001926E6"/>
    <w:rsid w:val="001935CA"/>
    <w:rsid w:val="001938A0"/>
    <w:rsid w:val="0019410F"/>
    <w:rsid w:val="00194669"/>
    <w:rsid w:val="001946AB"/>
    <w:rsid w:val="001949F5"/>
    <w:rsid w:val="00194AE3"/>
    <w:rsid w:val="00195001"/>
    <w:rsid w:val="001958AF"/>
    <w:rsid w:val="00196810"/>
    <w:rsid w:val="00197158"/>
    <w:rsid w:val="001A175D"/>
    <w:rsid w:val="001A2243"/>
    <w:rsid w:val="001A3760"/>
    <w:rsid w:val="001A3A7A"/>
    <w:rsid w:val="001A3B3C"/>
    <w:rsid w:val="001A3E81"/>
    <w:rsid w:val="001A40C4"/>
    <w:rsid w:val="001A5381"/>
    <w:rsid w:val="001A687A"/>
    <w:rsid w:val="001A6948"/>
    <w:rsid w:val="001A76EB"/>
    <w:rsid w:val="001B00A5"/>
    <w:rsid w:val="001B0F59"/>
    <w:rsid w:val="001B2A5D"/>
    <w:rsid w:val="001B2E92"/>
    <w:rsid w:val="001B3A35"/>
    <w:rsid w:val="001B55E6"/>
    <w:rsid w:val="001B56FE"/>
    <w:rsid w:val="001B5AA2"/>
    <w:rsid w:val="001B6DA2"/>
    <w:rsid w:val="001B6DE1"/>
    <w:rsid w:val="001B6E9B"/>
    <w:rsid w:val="001B7254"/>
    <w:rsid w:val="001C0260"/>
    <w:rsid w:val="001C198A"/>
    <w:rsid w:val="001C2327"/>
    <w:rsid w:val="001C3987"/>
    <w:rsid w:val="001C3A95"/>
    <w:rsid w:val="001C3D28"/>
    <w:rsid w:val="001C5211"/>
    <w:rsid w:val="001C5957"/>
    <w:rsid w:val="001C5A45"/>
    <w:rsid w:val="001C5C3F"/>
    <w:rsid w:val="001C6037"/>
    <w:rsid w:val="001C68BD"/>
    <w:rsid w:val="001C6982"/>
    <w:rsid w:val="001C7C5A"/>
    <w:rsid w:val="001D0084"/>
    <w:rsid w:val="001D0B8A"/>
    <w:rsid w:val="001D14BE"/>
    <w:rsid w:val="001D1D79"/>
    <w:rsid w:val="001D1F5C"/>
    <w:rsid w:val="001D2F8D"/>
    <w:rsid w:val="001D32C3"/>
    <w:rsid w:val="001D42ED"/>
    <w:rsid w:val="001D430E"/>
    <w:rsid w:val="001D4520"/>
    <w:rsid w:val="001D6557"/>
    <w:rsid w:val="001D6AFC"/>
    <w:rsid w:val="001D6E15"/>
    <w:rsid w:val="001D73D7"/>
    <w:rsid w:val="001E26E1"/>
    <w:rsid w:val="001E2C68"/>
    <w:rsid w:val="001E34E3"/>
    <w:rsid w:val="001E5670"/>
    <w:rsid w:val="001E6574"/>
    <w:rsid w:val="001E6C03"/>
    <w:rsid w:val="001E7849"/>
    <w:rsid w:val="001E7CED"/>
    <w:rsid w:val="001F019A"/>
    <w:rsid w:val="001F02FE"/>
    <w:rsid w:val="001F06A4"/>
    <w:rsid w:val="001F0898"/>
    <w:rsid w:val="001F0A83"/>
    <w:rsid w:val="001F0F20"/>
    <w:rsid w:val="001F1163"/>
    <w:rsid w:val="001F12B3"/>
    <w:rsid w:val="001F1DD3"/>
    <w:rsid w:val="001F260A"/>
    <w:rsid w:val="001F3673"/>
    <w:rsid w:val="001F4789"/>
    <w:rsid w:val="001F4837"/>
    <w:rsid w:val="001F4C8B"/>
    <w:rsid w:val="001F51C4"/>
    <w:rsid w:val="001F545A"/>
    <w:rsid w:val="001F7388"/>
    <w:rsid w:val="001F7C38"/>
    <w:rsid w:val="001F7DC7"/>
    <w:rsid w:val="001F7FC0"/>
    <w:rsid w:val="002045D6"/>
    <w:rsid w:val="00204657"/>
    <w:rsid w:val="00204CEC"/>
    <w:rsid w:val="00204D5C"/>
    <w:rsid w:val="00204E6E"/>
    <w:rsid w:val="002054C2"/>
    <w:rsid w:val="002056D8"/>
    <w:rsid w:val="00205E00"/>
    <w:rsid w:val="0020603B"/>
    <w:rsid w:val="002064AC"/>
    <w:rsid w:val="00206658"/>
    <w:rsid w:val="00206747"/>
    <w:rsid w:val="00206D5F"/>
    <w:rsid w:val="00207B0A"/>
    <w:rsid w:val="00210BA6"/>
    <w:rsid w:val="00210C33"/>
    <w:rsid w:val="00211A4F"/>
    <w:rsid w:val="00212CB3"/>
    <w:rsid w:val="00212F8E"/>
    <w:rsid w:val="00215D5D"/>
    <w:rsid w:val="002161D2"/>
    <w:rsid w:val="00216D16"/>
    <w:rsid w:val="00217197"/>
    <w:rsid w:val="00220279"/>
    <w:rsid w:val="00221636"/>
    <w:rsid w:val="00221D4C"/>
    <w:rsid w:val="00223035"/>
    <w:rsid w:val="00224309"/>
    <w:rsid w:val="0022450B"/>
    <w:rsid w:val="0022452D"/>
    <w:rsid w:val="00224F52"/>
    <w:rsid w:val="002258D6"/>
    <w:rsid w:val="00225C36"/>
    <w:rsid w:val="0022757C"/>
    <w:rsid w:val="00230889"/>
    <w:rsid w:val="00230A57"/>
    <w:rsid w:val="00231D69"/>
    <w:rsid w:val="00231E0D"/>
    <w:rsid w:val="0023281D"/>
    <w:rsid w:val="002338A4"/>
    <w:rsid w:val="00233B3B"/>
    <w:rsid w:val="00233E50"/>
    <w:rsid w:val="00234720"/>
    <w:rsid w:val="002347DD"/>
    <w:rsid w:val="00234D24"/>
    <w:rsid w:val="00234F2A"/>
    <w:rsid w:val="00235632"/>
    <w:rsid w:val="00236F6A"/>
    <w:rsid w:val="0023726D"/>
    <w:rsid w:val="00240E0E"/>
    <w:rsid w:val="00241DA8"/>
    <w:rsid w:val="00244E9E"/>
    <w:rsid w:val="00245F92"/>
    <w:rsid w:val="00246497"/>
    <w:rsid w:val="00246CC3"/>
    <w:rsid w:val="00247C4A"/>
    <w:rsid w:val="00247DC1"/>
    <w:rsid w:val="00250366"/>
    <w:rsid w:val="0025065A"/>
    <w:rsid w:val="0025116D"/>
    <w:rsid w:val="00251188"/>
    <w:rsid w:val="00251FC1"/>
    <w:rsid w:val="00252BDC"/>
    <w:rsid w:val="00252BF1"/>
    <w:rsid w:val="0025303D"/>
    <w:rsid w:val="002535A6"/>
    <w:rsid w:val="00253B6B"/>
    <w:rsid w:val="002542EB"/>
    <w:rsid w:val="00254F5A"/>
    <w:rsid w:val="0025578A"/>
    <w:rsid w:val="002575D6"/>
    <w:rsid w:val="00257DC4"/>
    <w:rsid w:val="002600EC"/>
    <w:rsid w:val="002620F2"/>
    <w:rsid w:val="00262292"/>
    <w:rsid w:val="00263DDC"/>
    <w:rsid w:val="00264E3C"/>
    <w:rsid w:val="00265049"/>
    <w:rsid w:val="00265173"/>
    <w:rsid w:val="002661E8"/>
    <w:rsid w:val="002661FB"/>
    <w:rsid w:val="00266D32"/>
    <w:rsid w:val="00266D36"/>
    <w:rsid w:val="00267615"/>
    <w:rsid w:val="00267A18"/>
    <w:rsid w:val="00267E9C"/>
    <w:rsid w:val="00270BE8"/>
    <w:rsid w:val="002716C5"/>
    <w:rsid w:val="002718BB"/>
    <w:rsid w:val="00271BA3"/>
    <w:rsid w:val="002730B2"/>
    <w:rsid w:val="00273E04"/>
    <w:rsid w:val="00274320"/>
    <w:rsid w:val="0027458F"/>
    <w:rsid w:val="00275A6F"/>
    <w:rsid w:val="00275F18"/>
    <w:rsid w:val="00276AD2"/>
    <w:rsid w:val="0027799D"/>
    <w:rsid w:val="00277B97"/>
    <w:rsid w:val="00280388"/>
    <w:rsid w:val="00280F43"/>
    <w:rsid w:val="0028192C"/>
    <w:rsid w:val="00283651"/>
    <w:rsid w:val="00284F96"/>
    <w:rsid w:val="002854AF"/>
    <w:rsid w:val="002857E1"/>
    <w:rsid w:val="00285C68"/>
    <w:rsid w:val="002864BE"/>
    <w:rsid w:val="00286B6C"/>
    <w:rsid w:val="0028737E"/>
    <w:rsid w:val="00290469"/>
    <w:rsid w:val="002904B0"/>
    <w:rsid w:val="00290DE3"/>
    <w:rsid w:val="00291214"/>
    <w:rsid w:val="002918B8"/>
    <w:rsid w:val="00291C3E"/>
    <w:rsid w:val="00291FCB"/>
    <w:rsid w:val="0029311F"/>
    <w:rsid w:val="002932E3"/>
    <w:rsid w:val="00294263"/>
    <w:rsid w:val="00294AF2"/>
    <w:rsid w:val="00295D0D"/>
    <w:rsid w:val="00296171"/>
    <w:rsid w:val="002A1460"/>
    <w:rsid w:val="002A2696"/>
    <w:rsid w:val="002A2FFB"/>
    <w:rsid w:val="002A31A5"/>
    <w:rsid w:val="002A3C4A"/>
    <w:rsid w:val="002A45EB"/>
    <w:rsid w:val="002A4663"/>
    <w:rsid w:val="002A570A"/>
    <w:rsid w:val="002A6171"/>
    <w:rsid w:val="002A7340"/>
    <w:rsid w:val="002B0FD8"/>
    <w:rsid w:val="002B1446"/>
    <w:rsid w:val="002B188D"/>
    <w:rsid w:val="002B2544"/>
    <w:rsid w:val="002B2615"/>
    <w:rsid w:val="002B30A7"/>
    <w:rsid w:val="002B3770"/>
    <w:rsid w:val="002B47F4"/>
    <w:rsid w:val="002B681C"/>
    <w:rsid w:val="002B6E66"/>
    <w:rsid w:val="002B7470"/>
    <w:rsid w:val="002B784C"/>
    <w:rsid w:val="002C0364"/>
    <w:rsid w:val="002C0D48"/>
    <w:rsid w:val="002C1CC7"/>
    <w:rsid w:val="002C2878"/>
    <w:rsid w:val="002C2F29"/>
    <w:rsid w:val="002C30A4"/>
    <w:rsid w:val="002C345B"/>
    <w:rsid w:val="002C3F4C"/>
    <w:rsid w:val="002C4332"/>
    <w:rsid w:val="002C43AF"/>
    <w:rsid w:val="002C458D"/>
    <w:rsid w:val="002C5AC3"/>
    <w:rsid w:val="002C5EA3"/>
    <w:rsid w:val="002C6323"/>
    <w:rsid w:val="002C6326"/>
    <w:rsid w:val="002C6759"/>
    <w:rsid w:val="002D1A49"/>
    <w:rsid w:val="002D220F"/>
    <w:rsid w:val="002D267B"/>
    <w:rsid w:val="002D33BB"/>
    <w:rsid w:val="002D36A4"/>
    <w:rsid w:val="002D59D7"/>
    <w:rsid w:val="002D5F5C"/>
    <w:rsid w:val="002E1245"/>
    <w:rsid w:val="002E2D5E"/>
    <w:rsid w:val="002E5618"/>
    <w:rsid w:val="002E690D"/>
    <w:rsid w:val="002F022F"/>
    <w:rsid w:val="002F0BA5"/>
    <w:rsid w:val="002F193E"/>
    <w:rsid w:val="002F2162"/>
    <w:rsid w:val="002F2E04"/>
    <w:rsid w:val="002F5F3B"/>
    <w:rsid w:val="002F60A0"/>
    <w:rsid w:val="002F6478"/>
    <w:rsid w:val="002F6762"/>
    <w:rsid w:val="002F7850"/>
    <w:rsid w:val="00300C1C"/>
    <w:rsid w:val="00300E2E"/>
    <w:rsid w:val="003010CF"/>
    <w:rsid w:val="00301650"/>
    <w:rsid w:val="003025BC"/>
    <w:rsid w:val="00302ADC"/>
    <w:rsid w:val="00304549"/>
    <w:rsid w:val="00304763"/>
    <w:rsid w:val="00305ABD"/>
    <w:rsid w:val="00305B11"/>
    <w:rsid w:val="0030649C"/>
    <w:rsid w:val="0030760D"/>
    <w:rsid w:val="00307F51"/>
    <w:rsid w:val="003101C3"/>
    <w:rsid w:val="00310443"/>
    <w:rsid w:val="003106AC"/>
    <w:rsid w:val="00311061"/>
    <w:rsid w:val="0031114A"/>
    <w:rsid w:val="003111B1"/>
    <w:rsid w:val="00311829"/>
    <w:rsid w:val="00311EF4"/>
    <w:rsid w:val="003132E1"/>
    <w:rsid w:val="00314180"/>
    <w:rsid w:val="0031543D"/>
    <w:rsid w:val="0031556F"/>
    <w:rsid w:val="003163B2"/>
    <w:rsid w:val="0031674C"/>
    <w:rsid w:val="00316A45"/>
    <w:rsid w:val="0031765E"/>
    <w:rsid w:val="00317B6D"/>
    <w:rsid w:val="00317C76"/>
    <w:rsid w:val="00317E7E"/>
    <w:rsid w:val="003201A1"/>
    <w:rsid w:val="0032238A"/>
    <w:rsid w:val="003229FD"/>
    <w:rsid w:val="00323506"/>
    <w:rsid w:val="00323624"/>
    <w:rsid w:val="003241FA"/>
    <w:rsid w:val="00325485"/>
    <w:rsid w:val="0032551F"/>
    <w:rsid w:val="00325F55"/>
    <w:rsid w:val="0032684C"/>
    <w:rsid w:val="00327349"/>
    <w:rsid w:val="00327FDF"/>
    <w:rsid w:val="0033094C"/>
    <w:rsid w:val="00331E24"/>
    <w:rsid w:val="00332E65"/>
    <w:rsid w:val="003333FF"/>
    <w:rsid w:val="00333502"/>
    <w:rsid w:val="00333C77"/>
    <w:rsid w:val="0033449D"/>
    <w:rsid w:val="003345AC"/>
    <w:rsid w:val="0033610D"/>
    <w:rsid w:val="00336B8A"/>
    <w:rsid w:val="00337041"/>
    <w:rsid w:val="0033751B"/>
    <w:rsid w:val="003376BB"/>
    <w:rsid w:val="00337BA7"/>
    <w:rsid w:val="003401FC"/>
    <w:rsid w:val="003402C9"/>
    <w:rsid w:val="00340E7B"/>
    <w:rsid w:val="003434F8"/>
    <w:rsid w:val="00343ADD"/>
    <w:rsid w:val="00343B7E"/>
    <w:rsid w:val="00344696"/>
    <w:rsid w:val="003448CF"/>
    <w:rsid w:val="00344F25"/>
    <w:rsid w:val="00346153"/>
    <w:rsid w:val="00350411"/>
    <w:rsid w:val="003507A0"/>
    <w:rsid w:val="00350C7C"/>
    <w:rsid w:val="00350D25"/>
    <w:rsid w:val="003518D5"/>
    <w:rsid w:val="00351B82"/>
    <w:rsid w:val="003522C7"/>
    <w:rsid w:val="00352806"/>
    <w:rsid w:val="003532F7"/>
    <w:rsid w:val="00353358"/>
    <w:rsid w:val="00354836"/>
    <w:rsid w:val="00354E68"/>
    <w:rsid w:val="00356342"/>
    <w:rsid w:val="00356D56"/>
    <w:rsid w:val="0036170C"/>
    <w:rsid w:val="00362124"/>
    <w:rsid w:val="00362C59"/>
    <w:rsid w:val="003644DD"/>
    <w:rsid w:val="00364597"/>
    <w:rsid w:val="00366CDA"/>
    <w:rsid w:val="0036701E"/>
    <w:rsid w:val="003670D5"/>
    <w:rsid w:val="00367300"/>
    <w:rsid w:val="0036775C"/>
    <w:rsid w:val="00370443"/>
    <w:rsid w:val="00370600"/>
    <w:rsid w:val="00370DDC"/>
    <w:rsid w:val="00371883"/>
    <w:rsid w:val="0037201C"/>
    <w:rsid w:val="0037400A"/>
    <w:rsid w:val="003758E6"/>
    <w:rsid w:val="0037634F"/>
    <w:rsid w:val="003764CA"/>
    <w:rsid w:val="00376E77"/>
    <w:rsid w:val="00376EB5"/>
    <w:rsid w:val="003779A7"/>
    <w:rsid w:val="00377A22"/>
    <w:rsid w:val="0038083A"/>
    <w:rsid w:val="0038090E"/>
    <w:rsid w:val="0038145E"/>
    <w:rsid w:val="0038297A"/>
    <w:rsid w:val="00382B7A"/>
    <w:rsid w:val="003831AA"/>
    <w:rsid w:val="00383B13"/>
    <w:rsid w:val="00383DD0"/>
    <w:rsid w:val="0038509B"/>
    <w:rsid w:val="003854E4"/>
    <w:rsid w:val="00385537"/>
    <w:rsid w:val="003862F0"/>
    <w:rsid w:val="003875D8"/>
    <w:rsid w:val="00387CB9"/>
    <w:rsid w:val="0039035E"/>
    <w:rsid w:val="003903E1"/>
    <w:rsid w:val="003907BA"/>
    <w:rsid w:val="00391417"/>
    <w:rsid w:val="00391425"/>
    <w:rsid w:val="003929DD"/>
    <w:rsid w:val="0039657C"/>
    <w:rsid w:val="00396C9D"/>
    <w:rsid w:val="0039784C"/>
    <w:rsid w:val="00397D04"/>
    <w:rsid w:val="003A0BE4"/>
    <w:rsid w:val="003A1D08"/>
    <w:rsid w:val="003A2423"/>
    <w:rsid w:val="003A4379"/>
    <w:rsid w:val="003A4F63"/>
    <w:rsid w:val="003A525F"/>
    <w:rsid w:val="003A57D7"/>
    <w:rsid w:val="003A5F92"/>
    <w:rsid w:val="003A5FD5"/>
    <w:rsid w:val="003A62B1"/>
    <w:rsid w:val="003A66E1"/>
    <w:rsid w:val="003A6E80"/>
    <w:rsid w:val="003A7D82"/>
    <w:rsid w:val="003A7DB2"/>
    <w:rsid w:val="003A7DF8"/>
    <w:rsid w:val="003B0DF6"/>
    <w:rsid w:val="003B0E90"/>
    <w:rsid w:val="003B1038"/>
    <w:rsid w:val="003B1274"/>
    <w:rsid w:val="003B1F1F"/>
    <w:rsid w:val="003B308D"/>
    <w:rsid w:val="003B488A"/>
    <w:rsid w:val="003B4BAC"/>
    <w:rsid w:val="003B51B3"/>
    <w:rsid w:val="003B5913"/>
    <w:rsid w:val="003B5EC3"/>
    <w:rsid w:val="003B6530"/>
    <w:rsid w:val="003B6A80"/>
    <w:rsid w:val="003B6C76"/>
    <w:rsid w:val="003B6F62"/>
    <w:rsid w:val="003B7551"/>
    <w:rsid w:val="003B77D0"/>
    <w:rsid w:val="003B7968"/>
    <w:rsid w:val="003B7C79"/>
    <w:rsid w:val="003C0CB7"/>
    <w:rsid w:val="003C1EBE"/>
    <w:rsid w:val="003C1FAE"/>
    <w:rsid w:val="003C308E"/>
    <w:rsid w:val="003C42BE"/>
    <w:rsid w:val="003C4AC6"/>
    <w:rsid w:val="003C53E9"/>
    <w:rsid w:val="003C5442"/>
    <w:rsid w:val="003C6635"/>
    <w:rsid w:val="003C6731"/>
    <w:rsid w:val="003C67E0"/>
    <w:rsid w:val="003D0B46"/>
    <w:rsid w:val="003D0E24"/>
    <w:rsid w:val="003D1A43"/>
    <w:rsid w:val="003D1D0F"/>
    <w:rsid w:val="003D2210"/>
    <w:rsid w:val="003D22DD"/>
    <w:rsid w:val="003D2800"/>
    <w:rsid w:val="003D31EA"/>
    <w:rsid w:val="003D359B"/>
    <w:rsid w:val="003D4255"/>
    <w:rsid w:val="003D46A6"/>
    <w:rsid w:val="003D63EF"/>
    <w:rsid w:val="003D6EDC"/>
    <w:rsid w:val="003D70BA"/>
    <w:rsid w:val="003D7BA4"/>
    <w:rsid w:val="003E00B9"/>
    <w:rsid w:val="003E1245"/>
    <w:rsid w:val="003E1C64"/>
    <w:rsid w:val="003E1CAD"/>
    <w:rsid w:val="003E2B67"/>
    <w:rsid w:val="003E2E1C"/>
    <w:rsid w:val="003E4672"/>
    <w:rsid w:val="003E4D70"/>
    <w:rsid w:val="003E4F10"/>
    <w:rsid w:val="003E5181"/>
    <w:rsid w:val="003E56B9"/>
    <w:rsid w:val="003E5BA9"/>
    <w:rsid w:val="003E5DAC"/>
    <w:rsid w:val="003E5ECF"/>
    <w:rsid w:val="003E6A53"/>
    <w:rsid w:val="003E6B61"/>
    <w:rsid w:val="003F040B"/>
    <w:rsid w:val="003F1434"/>
    <w:rsid w:val="003F1E4A"/>
    <w:rsid w:val="003F2DCA"/>
    <w:rsid w:val="003F4333"/>
    <w:rsid w:val="003F4337"/>
    <w:rsid w:val="003F479B"/>
    <w:rsid w:val="003F494F"/>
    <w:rsid w:val="003F4C9E"/>
    <w:rsid w:val="003F5152"/>
    <w:rsid w:val="003F51F5"/>
    <w:rsid w:val="003F5720"/>
    <w:rsid w:val="003F6487"/>
    <w:rsid w:val="003F6ACA"/>
    <w:rsid w:val="003F6E93"/>
    <w:rsid w:val="003F70F6"/>
    <w:rsid w:val="003F7147"/>
    <w:rsid w:val="003F783E"/>
    <w:rsid w:val="003F7B35"/>
    <w:rsid w:val="004004A1"/>
    <w:rsid w:val="00400C90"/>
    <w:rsid w:val="00401581"/>
    <w:rsid w:val="004017C6"/>
    <w:rsid w:val="004019D1"/>
    <w:rsid w:val="00401CEB"/>
    <w:rsid w:val="00403993"/>
    <w:rsid w:val="00403DDC"/>
    <w:rsid w:val="00403FCC"/>
    <w:rsid w:val="00404C80"/>
    <w:rsid w:val="0040535A"/>
    <w:rsid w:val="004056C4"/>
    <w:rsid w:val="00406CC0"/>
    <w:rsid w:val="00407216"/>
    <w:rsid w:val="004072E1"/>
    <w:rsid w:val="00407F97"/>
    <w:rsid w:val="00410674"/>
    <w:rsid w:val="00411CEB"/>
    <w:rsid w:val="00411D8D"/>
    <w:rsid w:val="00412051"/>
    <w:rsid w:val="004128C6"/>
    <w:rsid w:val="00412C77"/>
    <w:rsid w:val="00413654"/>
    <w:rsid w:val="00413708"/>
    <w:rsid w:val="004139CD"/>
    <w:rsid w:val="00414B63"/>
    <w:rsid w:val="00415389"/>
    <w:rsid w:val="00415608"/>
    <w:rsid w:val="00416EA3"/>
    <w:rsid w:val="00417F9F"/>
    <w:rsid w:val="004212A7"/>
    <w:rsid w:val="0042258A"/>
    <w:rsid w:val="004229C3"/>
    <w:rsid w:val="00423582"/>
    <w:rsid w:val="004237F4"/>
    <w:rsid w:val="00423C4A"/>
    <w:rsid w:val="0042466B"/>
    <w:rsid w:val="00424EE4"/>
    <w:rsid w:val="00424F5B"/>
    <w:rsid w:val="00425D8C"/>
    <w:rsid w:val="00426611"/>
    <w:rsid w:val="004268CA"/>
    <w:rsid w:val="00427815"/>
    <w:rsid w:val="00427B39"/>
    <w:rsid w:val="00430874"/>
    <w:rsid w:val="00431458"/>
    <w:rsid w:val="00431587"/>
    <w:rsid w:val="00431B36"/>
    <w:rsid w:val="00431EC7"/>
    <w:rsid w:val="0043203D"/>
    <w:rsid w:val="00433EC0"/>
    <w:rsid w:val="00435EF8"/>
    <w:rsid w:val="0043652A"/>
    <w:rsid w:val="00436CF9"/>
    <w:rsid w:val="00436F9C"/>
    <w:rsid w:val="004379FD"/>
    <w:rsid w:val="00437E50"/>
    <w:rsid w:val="004409F1"/>
    <w:rsid w:val="00443553"/>
    <w:rsid w:val="0044363C"/>
    <w:rsid w:val="00443808"/>
    <w:rsid w:val="004443CA"/>
    <w:rsid w:val="0044517B"/>
    <w:rsid w:val="004454FF"/>
    <w:rsid w:val="00445FC5"/>
    <w:rsid w:val="0044650C"/>
    <w:rsid w:val="00447064"/>
    <w:rsid w:val="00450A13"/>
    <w:rsid w:val="00450BBD"/>
    <w:rsid w:val="00450D9E"/>
    <w:rsid w:val="004510F6"/>
    <w:rsid w:val="004512ED"/>
    <w:rsid w:val="004525F4"/>
    <w:rsid w:val="00453623"/>
    <w:rsid w:val="00453B3A"/>
    <w:rsid w:val="00453D9D"/>
    <w:rsid w:val="00455069"/>
    <w:rsid w:val="00456294"/>
    <w:rsid w:val="004576D8"/>
    <w:rsid w:val="0046038B"/>
    <w:rsid w:val="00460437"/>
    <w:rsid w:val="00460877"/>
    <w:rsid w:val="004610CD"/>
    <w:rsid w:val="00461E9C"/>
    <w:rsid w:val="00462778"/>
    <w:rsid w:val="00462F0E"/>
    <w:rsid w:val="00463B69"/>
    <w:rsid w:val="00463D65"/>
    <w:rsid w:val="00464AB1"/>
    <w:rsid w:val="004663BB"/>
    <w:rsid w:val="004672BA"/>
    <w:rsid w:val="00470356"/>
    <w:rsid w:val="00471108"/>
    <w:rsid w:val="00471219"/>
    <w:rsid w:val="00471259"/>
    <w:rsid w:val="004720D8"/>
    <w:rsid w:val="00472301"/>
    <w:rsid w:val="00472715"/>
    <w:rsid w:val="0047280B"/>
    <w:rsid w:val="00472B38"/>
    <w:rsid w:val="00473A12"/>
    <w:rsid w:val="00474C88"/>
    <w:rsid w:val="00475DAB"/>
    <w:rsid w:val="00476716"/>
    <w:rsid w:val="00476865"/>
    <w:rsid w:val="00476A78"/>
    <w:rsid w:val="004778CD"/>
    <w:rsid w:val="00477E41"/>
    <w:rsid w:val="00481063"/>
    <w:rsid w:val="00481A11"/>
    <w:rsid w:val="004828E3"/>
    <w:rsid w:val="00483324"/>
    <w:rsid w:val="00483A0D"/>
    <w:rsid w:val="00484AB8"/>
    <w:rsid w:val="00485C85"/>
    <w:rsid w:val="00486D7A"/>
    <w:rsid w:val="00486ED6"/>
    <w:rsid w:val="004876F4"/>
    <w:rsid w:val="004903BD"/>
    <w:rsid w:val="00490721"/>
    <w:rsid w:val="00490A76"/>
    <w:rsid w:val="00490C84"/>
    <w:rsid w:val="0049165A"/>
    <w:rsid w:val="00491B6F"/>
    <w:rsid w:val="00492190"/>
    <w:rsid w:val="004921AE"/>
    <w:rsid w:val="00493036"/>
    <w:rsid w:val="0049657E"/>
    <w:rsid w:val="0049657F"/>
    <w:rsid w:val="0049668B"/>
    <w:rsid w:val="0049684A"/>
    <w:rsid w:val="00496AB4"/>
    <w:rsid w:val="00496FF6"/>
    <w:rsid w:val="004A038C"/>
    <w:rsid w:val="004A0792"/>
    <w:rsid w:val="004A0835"/>
    <w:rsid w:val="004A10D4"/>
    <w:rsid w:val="004A1135"/>
    <w:rsid w:val="004A2706"/>
    <w:rsid w:val="004A2A12"/>
    <w:rsid w:val="004A3283"/>
    <w:rsid w:val="004A5B6F"/>
    <w:rsid w:val="004A63DF"/>
    <w:rsid w:val="004B0B7A"/>
    <w:rsid w:val="004B0F10"/>
    <w:rsid w:val="004B1099"/>
    <w:rsid w:val="004B1530"/>
    <w:rsid w:val="004B1BB3"/>
    <w:rsid w:val="004B1F96"/>
    <w:rsid w:val="004B2462"/>
    <w:rsid w:val="004B2952"/>
    <w:rsid w:val="004B3198"/>
    <w:rsid w:val="004B384B"/>
    <w:rsid w:val="004B3905"/>
    <w:rsid w:val="004B4227"/>
    <w:rsid w:val="004B4E64"/>
    <w:rsid w:val="004B53C7"/>
    <w:rsid w:val="004B57E6"/>
    <w:rsid w:val="004B5B97"/>
    <w:rsid w:val="004B6C80"/>
    <w:rsid w:val="004B7C9D"/>
    <w:rsid w:val="004C10AE"/>
    <w:rsid w:val="004C10E3"/>
    <w:rsid w:val="004C26E1"/>
    <w:rsid w:val="004C2A24"/>
    <w:rsid w:val="004C2F42"/>
    <w:rsid w:val="004C3479"/>
    <w:rsid w:val="004C4678"/>
    <w:rsid w:val="004C47A1"/>
    <w:rsid w:val="004C4861"/>
    <w:rsid w:val="004C4933"/>
    <w:rsid w:val="004C497D"/>
    <w:rsid w:val="004C4AEB"/>
    <w:rsid w:val="004C4BA5"/>
    <w:rsid w:val="004C4DBF"/>
    <w:rsid w:val="004C51F2"/>
    <w:rsid w:val="004C68A1"/>
    <w:rsid w:val="004C6F18"/>
    <w:rsid w:val="004C70B4"/>
    <w:rsid w:val="004C762B"/>
    <w:rsid w:val="004C7EE7"/>
    <w:rsid w:val="004D0583"/>
    <w:rsid w:val="004D131C"/>
    <w:rsid w:val="004D3D7D"/>
    <w:rsid w:val="004D4A4C"/>
    <w:rsid w:val="004D4F28"/>
    <w:rsid w:val="004D5C79"/>
    <w:rsid w:val="004D5EC9"/>
    <w:rsid w:val="004D6A8F"/>
    <w:rsid w:val="004D72CD"/>
    <w:rsid w:val="004E018A"/>
    <w:rsid w:val="004E0D54"/>
    <w:rsid w:val="004E1AD7"/>
    <w:rsid w:val="004E1DE6"/>
    <w:rsid w:val="004E252A"/>
    <w:rsid w:val="004E3AAD"/>
    <w:rsid w:val="004E5188"/>
    <w:rsid w:val="004E5328"/>
    <w:rsid w:val="004E69AE"/>
    <w:rsid w:val="004E6A6D"/>
    <w:rsid w:val="004E7069"/>
    <w:rsid w:val="004E763C"/>
    <w:rsid w:val="004F0022"/>
    <w:rsid w:val="004F0B83"/>
    <w:rsid w:val="004F1737"/>
    <w:rsid w:val="004F17EC"/>
    <w:rsid w:val="004F1D26"/>
    <w:rsid w:val="004F332E"/>
    <w:rsid w:val="004F3B18"/>
    <w:rsid w:val="004F4630"/>
    <w:rsid w:val="004F5C43"/>
    <w:rsid w:val="004F6ACF"/>
    <w:rsid w:val="004F7219"/>
    <w:rsid w:val="004F7CA2"/>
    <w:rsid w:val="00500967"/>
    <w:rsid w:val="00500AF1"/>
    <w:rsid w:val="00500B99"/>
    <w:rsid w:val="00500D43"/>
    <w:rsid w:val="00501C9B"/>
    <w:rsid w:val="00502184"/>
    <w:rsid w:val="00502B06"/>
    <w:rsid w:val="00503A5F"/>
    <w:rsid w:val="0050421B"/>
    <w:rsid w:val="00504B91"/>
    <w:rsid w:val="005069A4"/>
    <w:rsid w:val="00506FB8"/>
    <w:rsid w:val="0050704C"/>
    <w:rsid w:val="0050790E"/>
    <w:rsid w:val="00507C81"/>
    <w:rsid w:val="005102A0"/>
    <w:rsid w:val="00510849"/>
    <w:rsid w:val="00510B1D"/>
    <w:rsid w:val="00512CF1"/>
    <w:rsid w:val="00513114"/>
    <w:rsid w:val="005132B3"/>
    <w:rsid w:val="00513465"/>
    <w:rsid w:val="005138CE"/>
    <w:rsid w:val="00514087"/>
    <w:rsid w:val="00515615"/>
    <w:rsid w:val="00515D53"/>
    <w:rsid w:val="00516373"/>
    <w:rsid w:val="00517686"/>
    <w:rsid w:val="00520C23"/>
    <w:rsid w:val="00520EA6"/>
    <w:rsid w:val="005213F7"/>
    <w:rsid w:val="00521809"/>
    <w:rsid w:val="00521884"/>
    <w:rsid w:val="00521969"/>
    <w:rsid w:val="00522D98"/>
    <w:rsid w:val="00522E42"/>
    <w:rsid w:val="00523423"/>
    <w:rsid w:val="00523C85"/>
    <w:rsid w:val="00524774"/>
    <w:rsid w:val="0052545B"/>
    <w:rsid w:val="005262DF"/>
    <w:rsid w:val="00526D3C"/>
    <w:rsid w:val="00526FEF"/>
    <w:rsid w:val="00527DF0"/>
    <w:rsid w:val="00530ACD"/>
    <w:rsid w:val="0053271B"/>
    <w:rsid w:val="005334AE"/>
    <w:rsid w:val="00533E90"/>
    <w:rsid w:val="00534C59"/>
    <w:rsid w:val="005365FA"/>
    <w:rsid w:val="00536785"/>
    <w:rsid w:val="00536A3F"/>
    <w:rsid w:val="0053742C"/>
    <w:rsid w:val="00540FD7"/>
    <w:rsid w:val="00541854"/>
    <w:rsid w:val="00542568"/>
    <w:rsid w:val="00543137"/>
    <w:rsid w:val="005434B5"/>
    <w:rsid w:val="00543F74"/>
    <w:rsid w:val="00544257"/>
    <w:rsid w:val="0054737C"/>
    <w:rsid w:val="005473FE"/>
    <w:rsid w:val="005479A3"/>
    <w:rsid w:val="0055026B"/>
    <w:rsid w:val="00551E1F"/>
    <w:rsid w:val="005547BA"/>
    <w:rsid w:val="00556C93"/>
    <w:rsid w:val="00556E6C"/>
    <w:rsid w:val="00560BC0"/>
    <w:rsid w:val="00561DD4"/>
    <w:rsid w:val="00562EF6"/>
    <w:rsid w:val="005634D8"/>
    <w:rsid w:val="005635C4"/>
    <w:rsid w:val="00565152"/>
    <w:rsid w:val="005653A4"/>
    <w:rsid w:val="00566346"/>
    <w:rsid w:val="0057047F"/>
    <w:rsid w:val="005712D7"/>
    <w:rsid w:val="005718E0"/>
    <w:rsid w:val="00571A10"/>
    <w:rsid w:val="00571E71"/>
    <w:rsid w:val="00571F33"/>
    <w:rsid w:val="00572773"/>
    <w:rsid w:val="00572D3C"/>
    <w:rsid w:val="005735A3"/>
    <w:rsid w:val="0057434A"/>
    <w:rsid w:val="00580A6C"/>
    <w:rsid w:val="005820C0"/>
    <w:rsid w:val="00583304"/>
    <w:rsid w:val="005837E1"/>
    <w:rsid w:val="00584309"/>
    <w:rsid w:val="00586B4E"/>
    <w:rsid w:val="00586EE1"/>
    <w:rsid w:val="00587BB8"/>
    <w:rsid w:val="005912F2"/>
    <w:rsid w:val="005920E3"/>
    <w:rsid w:val="00592172"/>
    <w:rsid w:val="00593573"/>
    <w:rsid w:val="005937EB"/>
    <w:rsid w:val="005938AD"/>
    <w:rsid w:val="00594577"/>
    <w:rsid w:val="00594960"/>
    <w:rsid w:val="00594F2E"/>
    <w:rsid w:val="005953DF"/>
    <w:rsid w:val="00595902"/>
    <w:rsid w:val="0059590B"/>
    <w:rsid w:val="00595D35"/>
    <w:rsid w:val="00596099"/>
    <w:rsid w:val="005960DD"/>
    <w:rsid w:val="005967E8"/>
    <w:rsid w:val="00596DA1"/>
    <w:rsid w:val="00597E0E"/>
    <w:rsid w:val="005A0001"/>
    <w:rsid w:val="005A024B"/>
    <w:rsid w:val="005A078F"/>
    <w:rsid w:val="005A1860"/>
    <w:rsid w:val="005A1D13"/>
    <w:rsid w:val="005A2CFF"/>
    <w:rsid w:val="005A2D92"/>
    <w:rsid w:val="005A346C"/>
    <w:rsid w:val="005A363E"/>
    <w:rsid w:val="005A4130"/>
    <w:rsid w:val="005A424F"/>
    <w:rsid w:val="005A5295"/>
    <w:rsid w:val="005A5C45"/>
    <w:rsid w:val="005A6166"/>
    <w:rsid w:val="005A7541"/>
    <w:rsid w:val="005A7802"/>
    <w:rsid w:val="005A79C4"/>
    <w:rsid w:val="005A7ABB"/>
    <w:rsid w:val="005A7B52"/>
    <w:rsid w:val="005B16BD"/>
    <w:rsid w:val="005B1F45"/>
    <w:rsid w:val="005B1FF2"/>
    <w:rsid w:val="005B3268"/>
    <w:rsid w:val="005B53F5"/>
    <w:rsid w:val="005B57AA"/>
    <w:rsid w:val="005B68F2"/>
    <w:rsid w:val="005B743D"/>
    <w:rsid w:val="005B7475"/>
    <w:rsid w:val="005C10EF"/>
    <w:rsid w:val="005C1370"/>
    <w:rsid w:val="005C1607"/>
    <w:rsid w:val="005C1FDE"/>
    <w:rsid w:val="005C27A3"/>
    <w:rsid w:val="005C347C"/>
    <w:rsid w:val="005C3B95"/>
    <w:rsid w:val="005C3CC1"/>
    <w:rsid w:val="005C4948"/>
    <w:rsid w:val="005C70FF"/>
    <w:rsid w:val="005C724B"/>
    <w:rsid w:val="005C7BCE"/>
    <w:rsid w:val="005C7D26"/>
    <w:rsid w:val="005D02B6"/>
    <w:rsid w:val="005D03D4"/>
    <w:rsid w:val="005D0C29"/>
    <w:rsid w:val="005D130B"/>
    <w:rsid w:val="005D153E"/>
    <w:rsid w:val="005D241D"/>
    <w:rsid w:val="005D2B71"/>
    <w:rsid w:val="005D3065"/>
    <w:rsid w:val="005D39D4"/>
    <w:rsid w:val="005D3A94"/>
    <w:rsid w:val="005D3AD0"/>
    <w:rsid w:val="005D429D"/>
    <w:rsid w:val="005D6C11"/>
    <w:rsid w:val="005D6DC1"/>
    <w:rsid w:val="005E0262"/>
    <w:rsid w:val="005E02A9"/>
    <w:rsid w:val="005E19DC"/>
    <w:rsid w:val="005E1D1F"/>
    <w:rsid w:val="005E1EB2"/>
    <w:rsid w:val="005E24FD"/>
    <w:rsid w:val="005E72C3"/>
    <w:rsid w:val="005E7BA1"/>
    <w:rsid w:val="005E7D6F"/>
    <w:rsid w:val="005F05E1"/>
    <w:rsid w:val="005F08BB"/>
    <w:rsid w:val="005F25DD"/>
    <w:rsid w:val="005F2C29"/>
    <w:rsid w:val="005F34A9"/>
    <w:rsid w:val="005F3749"/>
    <w:rsid w:val="005F44AE"/>
    <w:rsid w:val="005F466C"/>
    <w:rsid w:val="005F54BD"/>
    <w:rsid w:val="005F5E01"/>
    <w:rsid w:val="005F6194"/>
    <w:rsid w:val="005F64B0"/>
    <w:rsid w:val="005F6D99"/>
    <w:rsid w:val="006000DF"/>
    <w:rsid w:val="00600912"/>
    <w:rsid w:val="006009EA"/>
    <w:rsid w:val="006010D8"/>
    <w:rsid w:val="00601227"/>
    <w:rsid w:val="00601A9B"/>
    <w:rsid w:val="00601D67"/>
    <w:rsid w:val="006021DD"/>
    <w:rsid w:val="006039A8"/>
    <w:rsid w:val="006055EE"/>
    <w:rsid w:val="00606C6F"/>
    <w:rsid w:val="0060746F"/>
    <w:rsid w:val="006075F9"/>
    <w:rsid w:val="00607BD1"/>
    <w:rsid w:val="006126F5"/>
    <w:rsid w:val="00612E97"/>
    <w:rsid w:val="006134B3"/>
    <w:rsid w:val="00613EC1"/>
    <w:rsid w:val="00615B74"/>
    <w:rsid w:val="006213CB"/>
    <w:rsid w:val="0062192F"/>
    <w:rsid w:val="00621A0C"/>
    <w:rsid w:val="00623192"/>
    <w:rsid w:val="00623DD1"/>
    <w:rsid w:val="006246FD"/>
    <w:rsid w:val="00625036"/>
    <w:rsid w:val="00625234"/>
    <w:rsid w:val="0062532C"/>
    <w:rsid w:val="00625F31"/>
    <w:rsid w:val="00626380"/>
    <w:rsid w:val="00626523"/>
    <w:rsid w:val="0062797D"/>
    <w:rsid w:val="00627A4E"/>
    <w:rsid w:val="00630375"/>
    <w:rsid w:val="00633186"/>
    <w:rsid w:val="00633E43"/>
    <w:rsid w:val="00634558"/>
    <w:rsid w:val="0063540C"/>
    <w:rsid w:val="006357B9"/>
    <w:rsid w:val="006364BB"/>
    <w:rsid w:val="00640083"/>
    <w:rsid w:val="00642407"/>
    <w:rsid w:val="00642E19"/>
    <w:rsid w:val="006433C3"/>
    <w:rsid w:val="00643D79"/>
    <w:rsid w:val="0064465E"/>
    <w:rsid w:val="00644B55"/>
    <w:rsid w:val="00646C25"/>
    <w:rsid w:val="006474A1"/>
    <w:rsid w:val="00650AF0"/>
    <w:rsid w:val="00652444"/>
    <w:rsid w:val="00652B36"/>
    <w:rsid w:val="00653286"/>
    <w:rsid w:val="00653D73"/>
    <w:rsid w:val="006542BC"/>
    <w:rsid w:val="00654D3D"/>
    <w:rsid w:val="00655020"/>
    <w:rsid w:val="0065599E"/>
    <w:rsid w:val="006562C8"/>
    <w:rsid w:val="0065748C"/>
    <w:rsid w:val="006604CE"/>
    <w:rsid w:val="006614EB"/>
    <w:rsid w:val="0066344D"/>
    <w:rsid w:val="00663935"/>
    <w:rsid w:val="00663A31"/>
    <w:rsid w:val="00663C99"/>
    <w:rsid w:val="006654F8"/>
    <w:rsid w:val="006660D7"/>
    <w:rsid w:val="00666B62"/>
    <w:rsid w:val="00667A37"/>
    <w:rsid w:val="00667B04"/>
    <w:rsid w:val="00670DCA"/>
    <w:rsid w:val="006713A9"/>
    <w:rsid w:val="00673065"/>
    <w:rsid w:val="0067310E"/>
    <w:rsid w:val="00673620"/>
    <w:rsid w:val="00674F4C"/>
    <w:rsid w:val="00675267"/>
    <w:rsid w:val="00675F9C"/>
    <w:rsid w:val="00676D3D"/>
    <w:rsid w:val="00677183"/>
    <w:rsid w:val="006777B6"/>
    <w:rsid w:val="0068187E"/>
    <w:rsid w:val="00681C7E"/>
    <w:rsid w:val="00682181"/>
    <w:rsid w:val="006838C7"/>
    <w:rsid w:val="00683F89"/>
    <w:rsid w:val="00683FAA"/>
    <w:rsid w:val="006845E6"/>
    <w:rsid w:val="006856BA"/>
    <w:rsid w:val="006856FA"/>
    <w:rsid w:val="00687204"/>
    <w:rsid w:val="00687356"/>
    <w:rsid w:val="006877EA"/>
    <w:rsid w:val="00691568"/>
    <w:rsid w:val="00692BFC"/>
    <w:rsid w:val="0069519C"/>
    <w:rsid w:val="00695C43"/>
    <w:rsid w:val="00695E1F"/>
    <w:rsid w:val="00696C67"/>
    <w:rsid w:val="00696E1E"/>
    <w:rsid w:val="00697036"/>
    <w:rsid w:val="00697F27"/>
    <w:rsid w:val="006A0A63"/>
    <w:rsid w:val="006A0B59"/>
    <w:rsid w:val="006A0C31"/>
    <w:rsid w:val="006A0FDA"/>
    <w:rsid w:val="006A1075"/>
    <w:rsid w:val="006A1324"/>
    <w:rsid w:val="006A2414"/>
    <w:rsid w:val="006A2CC5"/>
    <w:rsid w:val="006A3B42"/>
    <w:rsid w:val="006A3DAD"/>
    <w:rsid w:val="006A44AC"/>
    <w:rsid w:val="006A513C"/>
    <w:rsid w:val="006A6135"/>
    <w:rsid w:val="006A714F"/>
    <w:rsid w:val="006B015B"/>
    <w:rsid w:val="006B02A0"/>
    <w:rsid w:val="006B0997"/>
    <w:rsid w:val="006B23E4"/>
    <w:rsid w:val="006B26AD"/>
    <w:rsid w:val="006B29C3"/>
    <w:rsid w:val="006B385B"/>
    <w:rsid w:val="006B4225"/>
    <w:rsid w:val="006B79FA"/>
    <w:rsid w:val="006C14FA"/>
    <w:rsid w:val="006C22CB"/>
    <w:rsid w:val="006C22D7"/>
    <w:rsid w:val="006C2963"/>
    <w:rsid w:val="006C2DFA"/>
    <w:rsid w:val="006C3E4D"/>
    <w:rsid w:val="006C575E"/>
    <w:rsid w:val="006C5A39"/>
    <w:rsid w:val="006C7053"/>
    <w:rsid w:val="006C767E"/>
    <w:rsid w:val="006C7773"/>
    <w:rsid w:val="006C7943"/>
    <w:rsid w:val="006C79AC"/>
    <w:rsid w:val="006C7E3F"/>
    <w:rsid w:val="006D05D4"/>
    <w:rsid w:val="006D2F43"/>
    <w:rsid w:val="006D4160"/>
    <w:rsid w:val="006D418E"/>
    <w:rsid w:val="006D55D4"/>
    <w:rsid w:val="006D5C75"/>
    <w:rsid w:val="006D613F"/>
    <w:rsid w:val="006D62F7"/>
    <w:rsid w:val="006D6C6F"/>
    <w:rsid w:val="006D75F9"/>
    <w:rsid w:val="006E09EC"/>
    <w:rsid w:val="006E0C97"/>
    <w:rsid w:val="006E113B"/>
    <w:rsid w:val="006E13F5"/>
    <w:rsid w:val="006E1B54"/>
    <w:rsid w:val="006E1D0D"/>
    <w:rsid w:val="006E1D4F"/>
    <w:rsid w:val="006E2586"/>
    <w:rsid w:val="006E2AAC"/>
    <w:rsid w:val="006E2B1A"/>
    <w:rsid w:val="006E354E"/>
    <w:rsid w:val="006E42C5"/>
    <w:rsid w:val="006E483E"/>
    <w:rsid w:val="006E4A32"/>
    <w:rsid w:val="006E4A50"/>
    <w:rsid w:val="006E553C"/>
    <w:rsid w:val="006E620C"/>
    <w:rsid w:val="006E71E8"/>
    <w:rsid w:val="006E73A9"/>
    <w:rsid w:val="006E7646"/>
    <w:rsid w:val="006E7694"/>
    <w:rsid w:val="006F01C6"/>
    <w:rsid w:val="006F0770"/>
    <w:rsid w:val="006F3137"/>
    <w:rsid w:val="006F3898"/>
    <w:rsid w:val="006F39CB"/>
    <w:rsid w:val="006F500D"/>
    <w:rsid w:val="006F5B93"/>
    <w:rsid w:val="006F6778"/>
    <w:rsid w:val="006F69DA"/>
    <w:rsid w:val="006F6DF9"/>
    <w:rsid w:val="006F744F"/>
    <w:rsid w:val="006F7512"/>
    <w:rsid w:val="006F7AC1"/>
    <w:rsid w:val="006F7AFD"/>
    <w:rsid w:val="00700241"/>
    <w:rsid w:val="0070040C"/>
    <w:rsid w:val="00706021"/>
    <w:rsid w:val="00710479"/>
    <w:rsid w:val="00710512"/>
    <w:rsid w:val="00710B6C"/>
    <w:rsid w:val="00711903"/>
    <w:rsid w:val="007120EB"/>
    <w:rsid w:val="00712F28"/>
    <w:rsid w:val="00714415"/>
    <w:rsid w:val="00714CC9"/>
    <w:rsid w:val="00715CCF"/>
    <w:rsid w:val="007162A3"/>
    <w:rsid w:val="007167AF"/>
    <w:rsid w:val="00716C20"/>
    <w:rsid w:val="007202B7"/>
    <w:rsid w:val="00720ABD"/>
    <w:rsid w:val="00720BC7"/>
    <w:rsid w:val="007216D1"/>
    <w:rsid w:val="00721C16"/>
    <w:rsid w:val="007225CE"/>
    <w:rsid w:val="00722F6A"/>
    <w:rsid w:val="00723DE3"/>
    <w:rsid w:val="00724B4B"/>
    <w:rsid w:val="00724BBE"/>
    <w:rsid w:val="007258C3"/>
    <w:rsid w:val="00725ED0"/>
    <w:rsid w:val="007266D6"/>
    <w:rsid w:val="007272E6"/>
    <w:rsid w:val="00727505"/>
    <w:rsid w:val="007303DC"/>
    <w:rsid w:val="007304CF"/>
    <w:rsid w:val="0073176E"/>
    <w:rsid w:val="007319FF"/>
    <w:rsid w:val="00732AF4"/>
    <w:rsid w:val="007342B6"/>
    <w:rsid w:val="00734C98"/>
    <w:rsid w:val="007367BF"/>
    <w:rsid w:val="0073696E"/>
    <w:rsid w:val="00736E0B"/>
    <w:rsid w:val="00737321"/>
    <w:rsid w:val="00737D33"/>
    <w:rsid w:val="00737FEB"/>
    <w:rsid w:val="00740279"/>
    <w:rsid w:val="00740A4C"/>
    <w:rsid w:val="00741BB0"/>
    <w:rsid w:val="00742018"/>
    <w:rsid w:val="007429BE"/>
    <w:rsid w:val="00742C49"/>
    <w:rsid w:val="00742DB7"/>
    <w:rsid w:val="0074359E"/>
    <w:rsid w:val="00743B34"/>
    <w:rsid w:val="00743DE3"/>
    <w:rsid w:val="00744B5C"/>
    <w:rsid w:val="00744C46"/>
    <w:rsid w:val="0074570B"/>
    <w:rsid w:val="0074594B"/>
    <w:rsid w:val="007461AE"/>
    <w:rsid w:val="00746CFE"/>
    <w:rsid w:val="007473A2"/>
    <w:rsid w:val="007479E7"/>
    <w:rsid w:val="00750A03"/>
    <w:rsid w:val="0075102C"/>
    <w:rsid w:val="007511ED"/>
    <w:rsid w:val="0075155C"/>
    <w:rsid w:val="007515D8"/>
    <w:rsid w:val="00752641"/>
    <w:rsid w:val="00752877"/>
    <w:rsid w:val="00753EAE"/>
    <w:rsid w:val="00754271"/>
    <w:rsid w:val="007548B5"/>
    <w:rsid w:val="00754B73"/>
    <w:rsid w:val="00754ED8"/>
    <w:rsid w:val="0075564F"/>
    <w:rsid w:val="00755773"/>
    <w:rsid w:val="00755984"/>
    <w:rsid w:val="00756D40"/>
    <w:rsid w:val="007578CB"/>
    <w:rsid w:val="00757F53"/>
    <w:rsid w:val="0076032D"/>
    <w:rsid w:val="00760382"/>
    <w:rsid w:val="00760404"/>
    <w:rsid w:val="0076523D"/>
    <w:rsid w:val="00765349"/>
    <w:rsid w:val="00765917"/>
    <w:rsid w:val="007666DF"/>
    <w:rsid w:val="0076782E"/>
    <w:rsid w:val="007715BC"/>
    <w:rsid w:val="00772642"/>
    <w:rsid w:val="00772763"/>
    <w:rsid w:val="00772871"/>
    <w:rsid w:val="007729E9"/>
    <w:rsid w:val="00773B37"/>
    <w:rsid w:val="00774670"/>
    <w:rsid w:val="00774EAD"/>
    <w:rsid w:val="00775295"/>
    <w:rsid w:val="007758A0"/>
    <w:rsid w:val="00775956"/>
    <w:rsid w:val="00775F1F"/>
    <w:rsid w:val="007766D3"/>
    <w:rsid w:val="00776CF2"/>
    <w:rsid w:val="00776EAF"/>
    <w:rsid w:val="00777017"/>
    <w:rsid w:val="007801C3"/>
    <w:rsid w:val="00780371"/>
    <w:rsid w:val="0078086B"/>
    <w:rsid w:val="00780886"/>
    <w:rsid w:val="00781C99"/>
    <w:rsid w:val="00782D78"/>
    <w:rsid w:val="00783198"/>
    <w:rsid w:val="0078370D"/>
    <w:rsid w:val="00783A01"/>
    <w:rsid w:val="00784649"/>
    <w:rsid w:val="00785520"/>
    <w:rsid w:val="007859E2"/>
    <w:rsid w:val="00785E43"/>
    <w:rsid w:val="007860B3"/>
    <w:rsid w:val="0078685E"/>
    <w:rsid w:val="0078753D"/>
    <w:rsid w:val="007901B1"/>
    <w:rsid w:val="00790629"/>
    <w:rsid w:val="00791804"/>
    <w:rsid w:val="007933B8"/>
    <w:rsid w:val="00793463"/>
    <w:rsid w:val="00794815"/>
    <w:rsid w:val="0079539B"/>
    <w:rsid w:val="00795898"/>
    <w:rsid w:val="007964D6"/>
    <w:rsid w:val="0079659B"/>
    <w:rsid w:val="00797018"/>
    <w:rsid w:val="007972B0"/>
    <w:rsid w:val="007A0791"/>
    <w:rsid w:val="007A0E53"/>
    <w:rsid w:val="007A1056"/>
    <w:rsid w:val="007A19B5"/>
    <w:rsid w:val="007A1E1A"/>
    <w:rsid w:val="007A2702"/>
    <w:rsid w:val="007A2BFE"/>
    <w:rsid w:val="007A3AC0"/>
    <w:rsid w:val="007A3ECD"/>
    <w:rsid w:val="007A456F"/>
    <w:rsid w:val="007A4C3B"/>
    <w:rsid w:val="007A4C72"/>
    <w:rsid w:val="007A4DA8"/>
    <w:rsid w:val="007A62A8"/>
    <w:rsid w:val="007A636B"/>
    <w:rsid w:val="007A706D"/>
    <w:rsid w:val="007A7193"/>
    <w:rsid w:val="007A78D7"/>
    <w:rsid w:val="007A79D0"/>
    <w:rsid w:val="007B0B08"/>
    <w:rsid w:val="007B2746"/>
    <w:rsid w:val="007B2A93"/>
    <w:rsid w:val="007B3CE4"/>
    <w:rsid w:val="007B4077"/>
    <w:rsid w:val="007B4342"/>
    <w:rsid w:val="007B45E2"/>
    <w:rsid w:val="007B53A1"/>
    <w:rsid w:val="007B626D"/>
    <w:rsid w:val="007B6678"/>
    <w:rsid w:val="007B7122"/>
    <w:rsid w:val="007C09C6"/>
    <w:rsid w:val="007C0BCA"/>
    <w:rsid w:val="007C0F6E"/>
    <w:rsid w:val="007C30F6"/>
    <w:rsid w:val="007C59ED"/>
    <w:rsid w:val="007C5B39"/>
    <w:rsid w:val="007C6E21"/>
    <w:rsid w:val="007C6FB8"/>
    <w:rsid w:val="007C77D7"/>
    <w:rsid w:val="007D0DDC"/>
    <w:rsid w:val="007D23ED"/>
    <w:rsid w:val="007D2ACB"/>
    <w:rsid w:val="007D3F1E"/>
    <w:rsid w:val="007D4B4A"/>
    <w:rsid w:val="007D4E96"/>
    <w:rsid w:val="007D52D4"/>
    <w:rsid w:val="007D5A0C"/>
    <w:rsid w:val="007D5A6C"/>
    <w:rsid w:val="007D5F29"/>
    <w:rsid w:val="007D5F6D"/>
    <w:rsid w:val="007D6EAE"/>
    <w:rsid w:val="007D79A3"/>
    <w:rsid w:val="007D7ABF"/>
    <w:rsid w:val="007E0223"/>
    <w:rsid w:val="007E022C"/>
    <w:rsid w:val="007E11FE"/>
    <w:rsid w:val="007E145D"/>
    <w:rsid w:val="007E1956"/>
    <w:rsid w:val="007E1D32"/>
    <w:rsid w:val="007E2EAA"/>
    <w:rsid w:val="007E2F0D"/>
    <w:rsid w:val="007E3BF8"/>
    <w:rsid w:val="007E401C"/>
    <w:rsid w:val="007E4191"/>
    <w:rsid w:val="007E4F45"/>
    <w:rsid w:val="007E5318"/>
    <w:rsid w:val="007E5555"/>
    <w:rsid w:val="007E5804"/>
    <w:rsid w:val="007E5E9D"/>
    <w:rsid w:val="007E6E48"/>
    <w:rsid w:val="007E780A"/>
    <w:rsid w:val="007E7BDC"/>
    <w:rsid w:val="007F0F3D"/>
    <w:rsid w:val="007F103F"/>
    <w:rsid w:val="007F19B3"/>
    <w:rsid w:val="007F3470"/>
    <w:rsid w:val="007F51B5"/>
    <w:rsid w:val="007F55D0"/>
    <w:rsid w:val="007F5D53"/>
    <w:rsid w:val="007F76C0"/>
    <w:rsid w:val="00800376"/>
    <w:rsid w:val="00800391"/>
    <w:rsid w:val="0080060E"/>
    <w:rsid w:val="00802A8A"/>
    <w:rsid w:val="008030FD"/>
    <w:rsid w:val="008034A8"/>
    <w:rsid w:val="008039CE"/>
    <w:rsid w:val="00803F0E"/>
    <w:rsid w:val="00804686"/>
    <w:rsid w:val="0080509B"/>
    <w:rsid w:val="00805D55"/>
    <w:rsid w:val="00810478"/>
    <w:rsid w:val="0081104B"/>
    <w:rsid w:val="00812394"/>
    <w:rsid w:val="0081311C"/>
    <w:rsid w:val="0081520A"/>
    <w:rsid w:val="008158DD"/>
    <w:rsid w:val="00817282"/>
    <w:rsid w:val="00817970"/>
    <w:rsid w:val="008200A7"/>
    <w:rsid w:val="00820D86"/>
    <w:rsid w:val="00821A2C"/>
    <w:rsid w:val="00821C16"/>
    <w:rsid w:val="00821F66"/>
    <w:rsid w:val="00822EB6"/>
    <w:rsid w:val="0082308C"/>
    <w:rsid w:val="008234EE"/>
    <w:rsid w:val="008239FD"/>
    <w:rsid w:val="00824F3B"/>
    <w:rsid w:val="008250E2"/>
    <w:rsid w:val="0082662D"/>
    <w:rsid w:val="00827957"/>
    <w:rsid w:val="00827C4D"/>
    <w:rsid w:val="00830E94"/>
    <w:rsid w:val="00831A87"/>
    <w:rsid w:val="00831FEE"/>
    <w:rsid w:val="00832472"/>
    <w:rsid w:val="00832DF5"/>
    <w:rsid w:val="00832E88"/>
    <w:rsid w:val="00833873"/>
    <w:rsid w:val="008349EF"/>
    <w:rsid w:val="008352D5"/>
    <w:rsid w:val="00835F6D"/>
    <w:rsid w:val="00836C4F"/>
    <w:rsid w:val="0083700E"/>
    <w:rsid w:val="00837F2A"/>
    <w:rsid w:val="008414A7"/>
    <w:rsid w:val="00841C8C"/>
    <w:rsid w:val="00842286"/>
    <w:rsid w:val="00842750"/>
    <w:rsid w:val="0084332A"/>
    <w:rsid w:val="008435CD"/>
    <w:rsid w:val="00844BDC"/>
    <w:rsid w:val="00845551"/>
    <w:rsid w:val="00845AAE"/>
    <w:rsid w:val="00850510"/>
    <w:rsid w:val="008507A0"/>
    <w:rsid w:val="00850820"/>
    <w:rsid w:val="008511AB"/>
    <w:rsid w:val="0085183E"/>
    <w:rsid w:val="00851AB3"/>
    <w:rsid w:val="00852EFC"/>
    <w:rsid w:val="0085483B"/>
    <w:rsid w:val="00854BDD"/>
    <w:rsid w:val="00856C31"/>
    <w:rsid w:val="00856CC7"/>
    <w:rsid w:val="008576DE"/>
    <w:rsid w:val="008579B0"/>
    <w:rsid w:val="0086186C"/>
    <w:rsid w:val="00862468"/>
    <w:rsid w:val="00863B48"/>
    <w:rsid w:val="00863DBA"/>
    <w:rsid w:val="00863EA3"/>
    <w:rsid w:val="008643B7"/>
    <w:rsid w:val="0086552B"/>
    <w:rsid w:val="008665D9"/>
    <w:rsid w:val="00870C8C"/>
    <w:rsid w:val="008715EE"/>
    <w:rsid w:val="00871903"/>
    <w:rsid w:val="00871DA8"/>
    <w:rsid w:val="00873094"/>
    <w:rsid w:val="008738B8"/>
    <w:rsid w:val="00873C78"/>
    <w:rsid w:val="008745C0"/>
    <w:rsid w:val="0087481D"/>
    <w:rsid w:val="0087493A"/>
    <w:rsid w:val="008760B8"/>
    <w:rsid w:val="00876BEF"/>
    <w:rsid w:val="00877853"/>
    <w:rsid w:val="00877C0C"/>
    <w:rsid w:val="00877ED0"/>
    <w:rsid w:val="00880045"/>
    <w:rsid w:val="00880134"/>
    <w:rsid w:val="008802E0"/>
    <w:rsid w:val="0088157E"/>
    <w:rsid w:val="00882FC8"/>
    <w:rsid w:val="00883675"/>
    <w:rsid w:val="00883738"/>
    <w:rsid w:val="00883F14"/>
    <w:rsid w:val="00884488"/>
    <w:rsid w:val="0088457F"/>
    <w:rsid w:val="00884B8C"/>
    <w:rsid w:val="00886BF2"/>
    <w:rsid w:val="00887A33"/>
    <w:rsid w:val="00887D73"/>
    <w:rsid w:val="00890705"/>
    <w:rsid w:val="00891C65"/>
    <w:rsid w:val="008923D9"/>
    <w:rsid w:val="00892429"/>
    <w:rsid w:val="008925EC"/>
    <w:rsid w:val="008938D6"/>
    <w:rsid w:val="0089455D"/>
    <w:rsid w:val="00894B8E"/>
    <w:rsid w:val="00894EE8"/>
    <w:rsid w:val="0089610D"/>
    <w:rsid w:val="00896FE1"/>
    <w:rsid w:val="008970B4"/>
    <w:rsid w:val="0089715C"/>
    <w:rsid w:val="008979C9"/>
    <w:rsid w:val="008A0763"/>
    <w:rsid w:val="008A09E8"/>
    <w:rsid w:val="008A0A8C"/>
    <w:rsid w:val="008A1AF7"/>
    <w:rsid w:val="008A275C"/>
    <w:rsid w:val="008A2FB5"/>
    <w:rsid w:val="008A306D"/>
    <w:rsid w:val="008A488E"/>
    <w:rsid w:val="008A490E"/>
    <w:rsid w:val="008A49A5"/>
    <w:rsid w:val="008A5FD1"/>
    <w:rsid w:val="008A6277"/>
    <w:rsid w:val="008A6F51"/>
    <w:rsid w:val="008A713F"/>
    <w:rsid w:val="008A7D38"/>
    <w:rsid w:val="008B1653"/>
    <w:rsid w:val="008B1E37"/>
    <w:rsid w:val="008B2512"/>
    <w:rsid w:val="008B25F9"/>
    <w:rsid w:val="008B283C"/>
    <w:rsid w:val="008B2843"/>
    <w:rsid w:val="008B406C"/>
    <w:rsid w:val="008B4F6C"/>
    <w:rsid w:val="008B5DAC"/>
    <w:rsid w:val="008B5E4F"/>
    <w:rsid w:val="008B61A4"/>
    <w:rsid w:val="008B6663"/>
    <w:rsid w:val="008C2F91"/>
    <w:rsid w:val="008C3544"/>
    <w:rsid w:val="008C5A1F"/>
    <w:rsid w:val="008C62D1"/>
    <w:rsid w:val="008C694F"/>
    <w:rsid w:val="008C74A2"/>
    <w:rsid w:val="008D048E"/>
    <w:rsid w:val="008D0DE8"/>
    <w:rsid w:val="008D147D"/>
    <w:rsid w:val="008D1E2D"/>
    <w:rsid w:val="008D21BA"/>
    <w:rsid w:val="008D3B88"/>
    <w:rsid w:val="008D40F9"/>
    <w:rsid w:val="008D461B"/>
    <w:rsid w:val="008D47A8"/>
    <w:rsid w:val="008D4946"/>
    <w:rsid w:val="008D4F18"/>
    <w:rsid w:val="008D54C3"/>
    <w:rsid w:val="008D6898"/>
    <w:rsid w:val="008D75D5"/>
    <w:rsid w:val="008D7DC1"/>
    <w:rsid w:val="008D7F4A"/>
    <w:rsid w:val="008E083B"/>
    <w:rsid w:val="008E222B"/>
    <w:rsid w:val="008E2447"/>
    <w:rsid w:val="008E3163"/>
    <w:rsid w:val="008E3805"/>
    <w:rsid w:val="008E43C4"/>
    <w:rsid w:val="008E4D14"/>
    <w:rsid w:val="008E4D60"/>
    <w:rsid w:val="008E6083"/>
    <w:rsid w:val="008E6EFC"/>
    <w:rsid w:val="008E71F9"/>
    <w:rsid w:val="008E7D12"/>
    <w:rsid w:val="008F1E96"/>
    <w:rsid w:val="008F2760"/>
    <w:rsid w:val="008F3135"/>
    <w:rsid w:val="008F3C03"/>
    <w:rsid w:val="008F75FF"/>
    <w:rsid w:val="00900046"/>
    <w:rsid w:val="00900E74"/>
    <w:rsid w:val="00901CEF"/>
    <w:rsid w:val="0090227B"/>
    <w:rsid w:val="00902CB6"/>
    <w:rsid w:val="009037FA"/>
    <w:rsid w:val="00904251"/>
    <w:rsid w:val="00904BFF"/>
    <w:rsid w:val="00905DD1"/>
    <w:rsid w:val="00906C4A"/>
    <w:rsid w:val="00906C80"/>
    <w:rsid w:val="009070DC"/>
    <w:rsid w:val="00907360"/>
    <w:rsid w:val="00907737"/>
    <w:rsid w:val="0091081A"/>
    <w:rsid w:val="0091084F"/>
    <w:rsid w:val="00910DAF"/>
    <w:rsid w:val="00911188"/>
    <w:rsid w:val="0091177C"/>
    <w:rsid w:val="00911842"/>
    <w:rsid w:val="009124AF"/>
    <w:rsid w:val="009125E8"/>
    <w:rsid w:val="009127F2"/>
    <w:rsid w:val="00913452"/>
    <w:rsid w:val="00913B5A"/>
    <w:rsid w:val="0091489D"/>
    <w:rsid w:val="00915379"/>
    <w:rsid w:val="00915B45"/>
    <w:rsid w:val="009160F0"/>
    <w:rsid w:val="009164F3"/>
    <w:rsid w:val="00916BED"/>
    <w:rsid w:val="00916C94"/>
    <w:rsid w:val="00916D6C"/>
    <w:rsid w:val="00916ECC"/>
    <w:rsid w:val="00917486"/>
    <w:rsid w:val="0091798B"/>
    <w:rsid w:val="00920F0E"/>
    <w:rsid w:val="00921116"/>
    <w:rsid w:val="009215BE"/>
    <w:rsid w:val="0092344D"/>
    <w:rsid w:val="00923540"/>
    <w:rsid w:val="00924235"/>
    <w:rsid w:val="00924C82"/>
    <w:rsid w:val="00924F46"/>
    <w:rsid w:val="00926644"/>
    <w:rsid w:val="0092665E"/>
    <w:rsid w:val="00926F7B"/>
    <w:rsid w:val="009279B0"/>
    <w:rsid w:val="00927E59"/>
    <w:rsid w:val="00930CB1"/>
    <w:rsid w:val="00931203"/>
    <w:rsid w:val="009315C5"/>
    <w:rsid w:val="00932162"/>
    <w:rsid w:val="0093340E"/>
    <w:rsid w:val="00933929"/>
    <w:rsid w:val="009346B8"/>
    <w:rsid w:val="00936630"/>
    <w:rsid w:val="009371F2"/>
    <w:rsid w:val="00937996"/>
    <w:rsid w:val="00937EAE"/>
    <w:rsid w:val="00937FC5"/>
    <w:rsid w:val="009404E4"/>
    <w:rsid w:val="009412D7"/>
    <w:rsid w:val="00941E7A"/>
    <w:rsid w:val="0094378E"/>
    <w:rsid w:val="009437DC"/>
    <w:rsid w:val="009439A6"/>
    <w:rsid w:val="00944716"/>
    <w:rsid w:val="00944B1B"/>
    <w:rsid w:val="009458E8"/>
    <w:rsid w:val="009469CC"/>
    <w:rsid w:val="00946CF0"/>
    <w:rsid w:val="0094702A"/>
    <w:rsid w:val="0094783D"/>
    <w:rsid w:val="009504AE"/>
    <w:rsid w:val="00950677"/>
    <w:rsid w:val="00950CCB"/>
    <w:rsid w:val="00951174"/>
    <w:rsid w:val="0095263F"/>
    <w:rsid w:val="0095319E"/>
    <w:rsid w:val="00954825"/>
    <w:rsid w:val="009548D0"/>
    <w:rsid w:val="009549D4"/>
    <w:rsid w:val="00956390"/>
    <w:rsid w:val="00956854"/>
    <w:rsid w:val="00956FB5"/>
    <w:rsid w:val="00957217"/>
    <w:rsid w:val="00957831"/>
    <w:rsid w:val="0096045A"/>
    <w:rsid w:val="00960839"/>
    <w:rsid w:val="00960FD7"/>
    <w:rsid w:val="00961CB1"/>
    <w:rsid w:val="009625DB"/>
    <w:rsid w:val="00962F9F"/>
    <w:rsid w:val="00963021"/>
    <w:rsid w:val="00963E65"/>
    <w:rsid w:val="0096403F"/>
    <w:rsid w:val="009657A5"/>
    <w:rsid w:val="009657C5"/>
    <w:rsid w:val="00965D8F"/>
    <w:rsid w:val="009667EA"/>
    <w:rsid w:val="009720A8"/>
    <w:rsid w:val="009720CF"/>
    <w:rsid w:val="0097217C"/>
    <w:rsid w:val="009721D0"/>
    <w:rsid w:val="0097297E"/>
    <w:rsid w:val="00972C0B"/>
    <w:rsid w:val="009738B5"/>
    <w:rsid w:val="00973A72"/>
    <w:rsid w:val="00974785"/>
    <w:rsid w:val="009755B4"/>
    <w:rsid w:val="00975D73"/>
    <w:rsid w:val="009761EF"/>
    <w:rsid w:val="0097694D"/>
    <w:rsid w:val="00976A39"/>
    <w:rsid w:val="00977458"/>
    <w:rsid w:val="0097746D"/>
    <w:rsid w:val="00977BC3"/>
    <w:rsid w:val="00977D1D"/>
    <w:rsid w:val="00980CAD"/>
    <w:rsid w:val="00981406"/>
    <w:rsid w:val="00981B7B"/>
    <w:rsid w:val="00982977"/>
    <w:rsid w:val="00982E4C"/>
    <w:rsid w:val="0098359E"/>
    <w:rsid w:val="0098458D"/>
    <w:rsid w:val="009849A1"/>
    <w:rsid w:val="00984A2B"/>
    <w:rsid w:val="00985315"/>
    <w:rsid w:val="0098568C"/>
    <w:rsid w:val="00985D13"/>
    <w:rsid w:val="00985E29"/>
    <w:rsid w:val="0098684B"/>
    <w:rsid w:val="00986AAD"/>
    <w:rsid w:val="00986DAD"/>
    <w:rsid w:val="00990A08"/>
    <w:rsid w:val="00991318"/>
    <w:rsid w:val="00991AA3"/>
    <w:rsid w:val="00991CCF"/>
    <w:rsid w:val="00991E09"/>
    <w:rsid w:val="0099556B"/>
    <w:rsid w:val="0099578B"/>
    <w:rsid w:val="009959E1"/>
    <w:rsid w:val="00995C64"/>
    <w:rsid w:val="0099727A"/>
    <w:rsid w:val="009A244A"/>
    <w:rsid w:val="009A25EF"/>
    <w:rsid w:val="009A2E75"/>
    <w:rsid w:val="009A361A"/>
    <w:rsid w:val="009A368F"/>
    <w:rsid w:val="009A461F"/>
    <w:rsid w:val="009A4971"/>
    <w:rsid w:val="009A5DC1"/>
    <w:rsid w:val="009A609A"/>
    <w:rsid w:val="009A6427"/>
    <w:rsid w:val="009B1183"/>
    <w:rsid w:val="009B26AE"/>
    <w:rsid w:val="009B551F"/>
    <w:rsid w:val="009B5537"/>
    <w:rsid w:val="009B62D5"/>
    <w:rsid w:val="009C03E2"/>
    <w:rsid w:val="009C111C"/>
    <w:rsid w:val="009C2186"/>
    <w:rsid w:val="009C3803"/>
    <w:rsid w:val="009C38C1"/>
    <w:rsid w:val="009C4644"/>
    <w:rsid w:val="009C61F9"/>
    <w:rsid w:val="009C7525"/>
    <w:rsid w:val="009C78EF"/>
    <w:rsid w:val="009D20DF"/>
    <w:rsid w:val="009D33BA"/>
    <w:rsid w:val="009D40AE"/>
    <w:rsid w:val="009D429F"/>
    <w:rsid w:val="009D4817"/>
    <w:rsid w:val="009D6015"/>
    <w:rsid w:val="009D755A"/>
    <w:rsid w:val="009D7D68"/>
    <w:rsid w:val="009E24C6"/>
    <w:rsid w:val="009E2898"/>
    <w:rsid w:val="009E2A74"/>
    <w:rsid w:val="009E2EB9"/>
    <w:rsid w:val="009E2FEF"/>
    <w:rsid w:val="009E383C"/>
    <w:rsid w:val="009E41DE"/>
    <w:rsid w:val="009E42E9"/>
    <w:rsid w:val="009E54F2"/>
    <w:rsid w:val="009E5674"/>
    <w:rsid w:val="009E6B11"/>
    <w:rsid w:val="009E6B28"/>
    <w:rsid w:val="009E73AD"/>
    <w:rsid w:val="009E7484"/>
    <w:rsid w:val="009E7A76"/>
    <w:rsid w:val="009F00E1"/>
    <w:rsid w:val="009F0247"/>
    <w:rsid w:val="009F0C58"/>
    <w:rsid w:val="009F0F4B"/>
    <w:rsid w:val="009F1791"/>
    <w:rsid w:val="009F2234"/>
    <w:rsid w:val="009F2418"/>
    <w:rsid w:val="009F2E29"/>
    <w:rsid w:val="009F51F5"/>
    <w:rsid w:val="009F6A1E"/>
    <w:rsid w:val="009F733B"/>
    <w:rsid w:val="009F7B8F"/>
    <w:rsid w:val="00A0055C"/>
    <w:rsid w:val="00A00C60"/>
    <w:rsid w:val="00A012A2"/>
    <w:rsid w:val="00A017E4"/>
    <w:rsid w:val="00A01886"/>
    <w:rsid w:val="00A01BE3"/>
    <w:rsid w:val="00A01C05"/>
    <w:rsid w:val="00A022D2"/>
    <w:rsid w:val="00A0248B"/>
    <w:rsid w:val="00A024E3"/>
    <w:rsid w:val="00A027DF"/>
    <w:rsid w:val="00A02D24"/>
    <w:rsid w:val="00A02E53"/>
    <w:rsid w:val="00A03762"/>
    <w:rsid w:val="00A0548B"/>
    <w:rsid w:val="00A064EC"/>
    <w:rsid w:val="00A065AE"/>
    <w:rsid w:val="00A068E7"/>
    <w:rsid w:val="00A06F79"/>
    <w:rsid w:val="00A072AB"/>
    <w:rsid w:val="00A07969"/>
    <w:rsid w:val="00A07EFC"/>
    <w:rsid w:val="00A1001A"/>
    <w:rsid w:val="00A1023F"/>
    <w:rsid w:val="00A1091C"/>
    <w:rsid w:val="00A10E8B"/>
    <w:rsid w:val="00A11264"/>
    <w:rsid w:val="00A1132B"/>
    <w:rsid w:val="00A116A6"/>
    <w:rsid w:val="00A12109"/>
    <w:rsid w:val="00A12216"/>
    <w:rsid w:val="00A1299D"/>
    <w:rsid w:val="00A129B2"/>
    <w:rsid w:val="00A12C08"/>
    <w:rsid w:val="00A13C2D"/>
    <w:rsid w:val="00A145C0"/>
    <w:rsid w:val="00A14A29"/>
    <w:rsid w:val="00A158FB"/>
    <w:rsid w:val="00A15A38"/>
    <w:rsid w:val="00A165F0"/>
    <w:rsid w:val="00A1677D"/>
    <w:rsid w:val="00A16A54"/>
    <w:rsid w:val="00A16E97"/>
    <w:rsid w:val="00A17007"/>
    <w:rsid w:val="00A17398"/>
    <w:rsid w:val="00A17BB3"/>
    <w:rsid w:val="00A17FA3"/>
    <w:rsid w:val="00A20D7C"/>
    <w:rsid w:val="00A2145C"/>
    <w:rsid w:val="00A22030"/>
    <w:rsid w:val="00A22F2D"/>
    <w:rsid w:val="00A23859"/>
    <w:rsid w:val="00A24821"/>
    <w:rsid w:val="00A24EB4"/>
    <w:rsid w:val="00A250C7"/>
    <w:rsid w:val="00A25BC2"/>
    <w:rsid w:val="00A25EDC"/>
    <w:rsid w:val="00A26E3E"/>
    <w:rsid w:val="00A26E7B"/>
    <w:rsid w:val="00A300BE"/>
    <w:rsid w:val="00A307BE"/>
    <w:rsid w:val="00A30A21"/>
    <w:rsid w:val="00A31907"/>
    <w:rsid w:val="00A32A25"/>
    <w:rsid w:val="00A33250"/>
    <w:rsid w:val="00A3385C"/>
    <w:rsid w:val="00A338FF"/>
    <w:rsid w:val="00A33F0F"/>
    <w:rsid w:val="00A34772"/>
    <w:rsid w:val="00A34CD2"/>
    <w:rsid w:val="00A35428"/>
    <w:rsid w:val="00A360C9"/>
    <w:rsid w:val="00A377FF"/>
    <w:rsid w:val="00A411AA"/>
    <w:rsid w:val="00A41EC4"/>
    <w:rsid w:val="00A42230"/>
    <w:rsid w:val="00A42AB7"/>
    <w:rsid w:val="00A431BF"/>
    <w:rsid w:val="00A432CA"/>
    <w:rsid w:val="00A4365D"/>
    <w:rsid w:val="00A43B04"/>
    <w:rsid w:val="00A44CEF"/>
    <w:rsid w:val="00A46280"/>
    <w:rsid w:val="00A46C07"/>
    <w:rsid w:val="00A47B59"/>
    <w:rsid w:val="00A5022D"/>
    <w:rsid w:val="00A50273"/>
    <w:rsid w:val="00A508B5"/>
    <w:rsid w:val="00A50FD0"/>
    <w:rsid w:val="00A51CEC"/>
    <w:rsid w:val="00A53E84"/>
    <w:rsid w:val="00A54BE8"/>
    <w:rsid w:val="00A55232"/>
    <w:rsid w:val="00A55572"/>
    <w:rsid w:val="00A557E1"/>
    <w:rsid w:val="00A55A66"/>
    <w:rsid w:val="00A5675E"/>
    <w:rsid w:val="00A57568"/>
    <w:rsid w:val="00A60340"/>
    <w:rsid w:val="00A60522"/>
    <w:rsid w:val="00A60D6B"/>
    <w:rsid w:val="00A610DB"/>
    <w:rsid w:val="00A6164A"/>
    <w:rsid w:val="00A6348F"/>
    <w:rsid w:val="00A637C9"/>
    <w:rsid w:val="00A6420B"/>
    <w:rsid w:val="00A64ED5"/>
    <w:rsid w:val="00A65EE1"/>
    <w:rsid w:val="00A65F97"/>
    <w:rsid w:val="00A66045"/>
    <w:rsid w:val="00A667EA"/>
    <w:rsid w:val="00A66D47"/>
    <w:rsid w:val="00A6743B"/>
    <w:rsid w:val="00A6767E"/>
    <w:rsid w:val="00A70532"/>
    <w:rsid w:val="00A707A5"/>
    <w:rsid w:val="00A70901"/>
    <w:rsid w:val="00A721D9"/>
    <w:rsid w:val="00A72856"/>
    <w:rsid w:val="00A74B83"/>
    <w:rsid w:val="00A75C77"/>
    <w:rsid w:val="00A765BF"/>
    <w:rsid w:val="00A77318"/>
    <w:rsid w:val="00A80397"/>
    <w:rsid w:val="00A80588"/>
    <w:rsid w:val="00A80831"/>
    <w:rsid w:val="00A81325"/>
    <w:rsid w:val="00A826D1"/>
    <w:rsid w:val="00A82974"/>
    <w:rsid w:val="00A83127"/>
    <w:rsid w:val="00A832B7"/>
    <w:rsid w:val="00A84D5B"/>
    <w:rsid w:val="00A858AC"/>
    <w:rsid w:val="00A868B8"/>
    <w:rsid w:val="00A8715B"/>
    <w:rsid w:val="00A875F2"/>
    <w:rsid w:val="00A876DF"/>
    <w:rsid w:val="00A905DD"/>
    <w:rsid w:val="00A906ED"/>
    <w:rsid w:val="00A91224"/>
    <w:rsid w:val="00A92A0E"/>
    <w:rsid w:val="00A92D8B"/>
    <w:rsid w:val="00A93095"/>
    <w:rsid w:val="00A93620"/>
    <w:rsid w:val="00A93B76"/>
    <w:rsid w:val="00A95366"/>
    <w:rsid w:val="00A954AF"/>
    <w:rsid w:val="00A958AB"/>
    <w:rsid w:val="00A95E42"/>
    <w:rsid w:val="00A9702C"/>
    <w:rsid w:val="00A97D01"/>
    <w:rsid w:val="00AA05A4"/>
    <w:rsid w:val="00AA0ABC"/>
    <w:rsid w:val="00AA1136"/>
    <w:rsid w:val="00AA1653"/>
    <w:rsid w:val="00AA1D58"/>
    <w:rsid w:val="00AA1D98"/>
    <w:rsid w:val="00AA3108"/>
    <w:rsid w:val="00AA3841"/>
    <w:rsid w:val="00AA4C50"/>
    <w:rsid w:val="00AA56FA"/>
    <w:rsid w:val="00AA5B98"/>
    <w:rsid w:val="00AA7186"/>
    <w:rsid w:val="00AA71BC"/>
    <w:rsid w:val="00AA7321"/>
    <w:rsid w:val="00AA79BE"/>
    <w:rsid w:val="00AB07A4"/>
    <w:rsid w:val="00AB1E82"/>
    <w:rsid w:val="00AB2202"/>
    <w:rsid w:val="00AB231A"/>
    <w:rsid w:val="00AB3824"/>
    <w:rsid w:val="00AB40E1"/>
    <w:rsid w:val="00AB4339"/>
    <w:rsid w:val="00AB4495"/>
    <w:rsid w:val="00AB544B"/>
    <w:rsid w:val="00AB5522"/>
    <w:rsid w:val="00AB6427"/>
    <w:rsid w:val="00AB6CBB"/>
    <w:rsid w:val="00AB7BE4"/>
    <w:rsid w:val="00AC0D91"/>
    <w:rsid w:val="00AC1D68"/>
    <w:rsid w:val="00AC21AB"/>
    <w:rsid w:val="00AC30D3"/>
    <w:rsid w:val="00AC371F"/>
    <w:rsid w:val="00AC3CBD"/>
    <w:rsid w:val="00AC4016"/>
    <w:rsid w:val="00AC4FA7"/>
    <w:rsid w:val="00AC58C3"/>
    <w:rsid w:val="00AC7293"/>
    <w:rsid w:val="00AD0C9A"/>
    <w:rsid w:val="00AD1F40"/>
    <w:rsid w:val="00AD2E4A"/>
    <w:rsid w:val="00AD3264"/>
    <w:rsid w:val="00AD32A1"/>
    <w:rsid w:val="00AD36CB"/>
    <w:rsid w:val="00AD439F"/>
    <w:rsid w:val="00AD6350"/>
    <w:rsid w:val="00AD6495"/>
    <w:rsid w:val="00AD6529"/>
    <w:rsid w:val="00AE29A3"/>
    <w:rsid w:val="00AE2BF6"/>
    <w:rsid w:val="00AE3F19"/>
    <w:rsid w:val="00AE4B95"/>
    <w:rsid w:val="00AE5003"/>
    <w:rsid w:val="00AE770E"/>
    <w:rsid w:val="00AF0537"/>
    <w:rsid w:val="00AF0807"/>
    <w:rsid w:val="00AF0F1B"/>
    <w:rsid w:val="00AF1505"/>
    <w:rsid w:val="00AF2C26"/>
    <w:rsid w:val="00AF30B7"/>
    <w:rsid w:val="00AF3660"/>
    <w:rsid w:val="00AF366F"/>
    <w:rsid w:val="00AF4046"/>
    <w:rsid w:val="00AF4450"/>
    <w:rsid w:val="00AF4790"/>
    <w:rsid w:val="00AF50A8"/>
    <w:rsid w:val="00AF537E"/>
    <w:rsid w:val="00AF548F"/>
    <w:rsid w:val="00AF5683"/>
    <w:rsid w:val="00AF68E0"/>
    <w:rsid w:val="00B000E0"/>
    <w:rsid w:val="00B0051C"/>
    <w:rsid w:val="00B0073E"/>
    <w:rsid w:val="00B012F1"/>
    <w:rsid w:val="00B01E84"/>
    <w:rsid w:val="00B02531"/>
    <w:rsid w:val="00B04D8A"/>
    <w:rsid w:val="00B066FB"/>
    <w:rsid w:val="00B06814"/>
    <w:rsid w:val="00B06C10"/>
    <w:rsid w:val="00B07655"/>
    <w:rsid w:val="00B10497"/>
    <w:rsid w:val="00B106F2"/>
    <w:rsid w:val="00B10AD1"/>
    <w:rsid w:val="00B111DA"/>
    <w:rsid w:val="00B11FAF"/>
    <w:rsid w:val="00B12089"/>
    <w:rsid w:val="00B13284"/>
    <w:rsid w:val="00B132F5"/>
    <w:rsid w:val="00B13A46"/>
    <w:rsid w:val="00B13C57"/>
    <w:rsid w:val="00B140A3"/>
    <w:rsid w:val="00B140EA"/>
    <w:rsid w:val="00B14398"/>
    <w:rsid w:val="00B15D03"/>
    <w:rsid w:val="00B15DC2"/>
    <w:rsid w:val="00B1641F"/>
    <w:rsid w:val="00B17720"/>
    <w:rsid w:val="00B177C0"/>
    <w:rsid w:val="00B218CC"/>
    <w:rsid w:val="00B22960"/>
    <w:rsid w:val="00B23D5C"/>
    <w:rsid w:val="00B24C07"/>
    <w:rsid w:val="00B2696E"/>
    <w:rsid w:val="00B271A9"/>
    <w:rsid w:val="00B27803"/>
    <w:rsid w:val="00B30C98"/>
    <w:rsid w:val="00B30E0C"/>
    <w:rsid w:val="00B32251"/>
    <w:rsid w:val="00B32614"/>
    <w:rsid w:val="00B32E74"/>
    <w:rsid w:val="00B330A5"/>
    <w:rsid w:val="00B340FB"/>
    <w:rsid w:val="00B35C59"/>
    <w:rsid w:val="00B35F7B"/>
    <w:rsid w:val="00B373B1"/>
    <w:rsid w:val="00B37C6C"/>
    <w:rsid w:val="00B4015E"/>
    <w:rsid w:val="00B405F7"/>
    <w:rsid w:val="00B40933"/>
    <w:rsid w:val="00B4274E"/>
    <w:rsid w:val="00B43839"/>
    <w:rsid w:val="00B43E00"/>
    <w:rsid w:val="00B4450D"/>
    <w:rsid w:val="00B4495F"/>
    <w:rsid w:val="00B44993"/>
    <w:rsid w:val="00B44A55"/>
    <w:rsid w:val="00B44ED3"/>
    <w:rsid w:val="00B45059"/>
    <w:rsid w:val="00B4549F"/>
    <w:rsid w:val="00B4552B"/>
    <w:rsid w:val="00B45886"/>
    <w:rsid w:val="00B4661B"/>
    <w:rsid w:val="00B46BEA"/>
    <w:rsid w:val="00B46D45"/>
    <w:rsid w:val="00B4720F"/>
    <w:rsid w:val="00B473A2"/>
    <w:rsid w:val="00B50436"/>
    <w:rsid w:val="00B5104D"/>
    <w:rsid w:val="00B511E5"/>
    <w:rsid w:val="00B55155"/>
    <w:rsid w:val="00B552C1"/>
    <w:rsid w:val="00B55505"/>
    <w:rsid w:val="00B55A2E"/>
    <w:rsid w:val="00B56FEA"/>
    <w:rsid w:val="00B57FF8"/>
    <w:rsid w:val="00B601C1"/>
    <w:rsid w:val="00B610B8"/>
    <w:rsid w:val="00B62409"/>
    <w:rsid w:val="00B62432"/>
    <w:rsid w:val="00B649F3"/>
    <w:rsid w:val="00B656CE"/>
    <w:rsid w:val="00B65A8F"/>
    <w:rsid w:val="00B66491"/>
    <w:rsid w:val="00B66DE7"/>
    <w:rsid w:val="00B706AA"/>
    <w:rsid w:val="00B70879"/>
    <w:rsid w:val="00B714A9"/>
    <w:rsid w:val="00B733A3"/>
    <w:rsid w:val="00B735CD"/>
    <w:rsid w:val="00B739AD"/>
    <w:rsid w:val="00B743F7"/>
    <w:rsid w:val="00B744C6"/>
    <w:rsid w:val="00B74989"/>
    <w:rsid w:val="00B75288"/>
    <w:rsid w:val="00B767D4"/>
    <w:rsid w:val="00B80422"/>
    <w:rsid w:val="00B804F2"/>
    <w:rsid w:val="00B812FF"/>
    <w:rsid w:val="00B819DE"/>
    <w:rsid w:val="00B81B15"/>
    <w:rsid w:val="00B82288"/>
    <w:rsid w:val="00B82386"/>
    <w:rsid w:val="00B84332"/>
    <w:rsid w:val="00B843F4"/>
    <w:rsid w:val="00B84918"/>
    <w:rsid w:val="00B84A27"/>
    <w:rsid w:val="00B84C4D"/>
    <w:rsid w:val="00B84C8A"/>
    <w:rsid w:val="00B8750D"/>
    <w:rsid w:val="00B87799"/>
    <w:rsid w:val="00B87CF9"/>
    <w:rsid w:val="00B87EEB"/>
    <w:rsid w:val="00B917D9"/>
    <w:rsid w:val="00B923F2"/>
    <w:rsid w:val="00B937B2"/>
    <w:rsid w:val="00B93B09"/>
    <w:rsid w:val="00B93D46"/>
    <w:rsid w:val="00B9419F"/>
    <w:rsid w:val="00BA0D7B"/>
    <w:rsid w:val="00BA27BF"/>
    <w:rsid w:val="00BA3747"/>
    <w:rsid w:val="00BA5726"/>
    <w:rsid w:val="00BA5D45"/>
    <w:rsid w:val="00BA654E"/>
    <w:rsid w:val="00BA6AE0"/>
    <w:rsid w:val="00BA6E13"/>
    <w:rsid w:val="00BA6FA3"/>
    <w:rsid w:val="00BA71FE"/>
    <w:rsid w:val="00BA72AE"/>
    <w:rsid w:val="00BB0537"/>
    <w:rsid w:val="00BB117E"/>
    <w:rsid w:val="00BB18F5"/>
    <w:rsid w:val="00BB1F85"/>
    <w:rsid w:val="00BB32BB"/>
    <w:rsid w:val="00BB372B"/>
    <w:rsid w:val="00BB3FA2"/>
    <w:rsid w:val="00BB4158"/>
    <w:rsid w:val="00BB4B21"/>
    <w:rsid w:val="00BB4E1D"/>
    <w:rsid w:val="00BB4F56"/>
    <w:rsid w:val="00BB5688"/>
    <w:rsid w:val="00BB5E89"/>
    <w:rsid w:val="00BB641F"/>
    <w:rsid w:val="00BB69CA"/>
    <w:rsid w:val="00BB6DAC"/>
    <w:rsid w:val="00BB6EBB"/>
    <w:rsid w:val="00BB7F72"/>
    <w:rsid w:val="00BC01B8"/>
    <w:rsid w:val="00BC0643"/>
    <w:rsid w:val="00BC090A"/>
    <w:rsid w:val="00BC0C0F"/>
    <w:rsid w:val="00BC1501"/>
    <w:rsid w:val="00BC170A"/>
    <w:rsid w:val="00BC1EE4"/>
    <w:rsid w:val="00BC347C"/>
    <w:rsid w:val="00BC374F"/>
    <w:rsid w:val="00BC41DF"/>
    <w:rsid w:val="00BC4A3F"/>
    <w:rsid w:val="00BC4A44"/>
    <w:rsid w:val="00BC5A18"/>
    <w:rsid w:val="00BC6FDA"/>
    <w:rsid w:val="00BD0782"/>
    <w:rsid w:val="00BD174B"/>
    <w:rsid w:val="00BD1A2D"/>
    <w:rsid w:val="00BD326D"/>
    <w:rsid w:val="00BD3327"/>
    <w:rsid w:val="00BD494C"/>
    <w:rsid w:val="00BD5DF7"/>
    <w:rsid w:val="00BD665F"/>
    <w:rsid w:val="00BD69FA"/>
    <w:rsid w:val="00BE0131"/>
    <w:rsid w:val="00BE0FB8"/>
    <w:rsid w:val="00BE2B6E"/>
    <w:rsid w:val="00BE30D4"/>
    <w:rsid w:val="00BE4431"/>
    <w:rsid w:val="00BE49FB"/>
    <w:rsid w:val="00BE5EF7"/>
    <w:rsid w:val="00BE683C"/>
    <w:rsid w:val="00BE6915"/>
    <w:rsid w:val="00BE71E9"/>
    <w:rsid w:val="00BF036F"/>
    <w:rsid w:val="00BF0D93"/>
    <w:rsid w:val="00BF15D8"/>
    <w:rsid w:val="00BF199F"/>
    <w:rsid w:val="00BF1A8C"/>
    <w:rsid w:val="00BF1AFC"/>
    <w:rsid w:val="00BF3DDA"/>
    <w:rsid w:val="00BF4934"/>
    <w:rsid w:val="00BF5023"/>
    <w:rsid w:val="00BF5C4E"/>
    <w:rsid w:val="00BF5CC8"/>
    <w:rsid w:val="00BF60E8"/>
    <w:rsid w:val="00BF63DB"/>
    <w:rsid w:val="00BF6DC5"/>
    <w:rsid w:val="00C00072"/>
    <w:rsid w:val="00C00205"/>
    <w:rsid w:val="00C0080E"/>
    <w:rsid w:val="00C02332"/>
    <w:rsid w:val="00C0360F"/>
    <w:rsid w:val="00C05374"/>
    <w:rsid w:val="00C056F4"/>
    <w:rsid w:val="00C0582B"/>
    <w:rsid w:val="00C06451"/>
    <w:rsid w:val="00C06455"/>
    <w:rsid w:val="00C07552"/>
    <w:rsid w:val="00C079CD"/>
    <w:rsid w:val="00C10D7A"/>
    <w:rsid w:val="00C110A5"/>
    <w:rsid w:val="00C11646"/>
    <w:rsid w:val="00C125F7"/>
    <w:rsid w:val="00C12806"/>
    <w:rsid w:val="00C12F11"/>
    <w:rsid w:val="00C13487"/>
    <w:rsid w:val="00C142F6"/>
    <w:rsid w:val="00C14880"/>
    <w:rsid w:val="00C14B6A"/>
    <w:rsid w:val="00C14D6A"/>
    <w:rsid w:val="00C159DD"/>
    <w:rsid w:val="00C16208"/>
    <w:rsid w:val="00C162E0"/>
    <w:rsid w:val="00C16FA0"/>
    <w:rsid w:val="00C17D14"/>
    <w:rsid w:val="00C17F9E"/>
    <w:rsid w:val="00C200DB"/>
    <w:rsid w:val="00C21ABE"/>
    <w:rsid w:val="00C2202D"/>
    <w:rsid w:val="00C2239A"/>
    <w:rsid w:val="00C223DE"/>
    <w:rsid w:val="00C22834"/>
    <w:rsid w:val="00C22D6B"/>
    <w:rsid w:val="00C23F3D"/>
    <w:rsid w:val="00C24B35"/>
    <w:rsid w:val="00C24DA8"/>
    <w:rsid w:val="00C264E5"/>
    <w:rsid w:val="00C2683A"/>
    <w:rsid w:val="00C2690E"/>
    <w:rsid w:val="00C26A13"/>
    <w:rsid w:val="00C26FCA"/>
    <w:rsid w:val="00C279A5"/>
    <w:rsid w:val="00C30BA8"/>
    <w:rsid w:val="00C3178D"/>
    <w:rsid w:val="00C31806"/>
    <w:rsid w:val="00C31F46"/>
    <w:rsid w:val="00C32599"/>
    <w:rsid w:val="00C33555"/>
    <w:rsid w:val="00C3486E"/>
    <w:rsid w:val="00C3579C"/>
    <w:rsid w:val="00C35EE5"/>
    <w:rsid w:val="00C360A5"/>
    <w:rsid w:val="00C361A7"/>
    <w:rsid w:val="00C362EE"/>
    <w:rsid w:val="00C40001"/>
    <w:rsid w:val="00C4005D"/>
    <w:rsid w:val="00C4009C"/>
    <w:rsid w:val="00C40957"/>
    <w:rsid w:val="00C40977"/>
    <w:rsid w:val="00C416A4"/>
    <w:rsid w:val="00C41BA2"/>
    <w:rsid w:val="00C41DAF"/>
    <w:rsid w:val="00C42C9C"/>
    <w:rsid w:val="00C42F7F"/>
    <w:rsid w:val="00C43978"/>
    <w:rsid w:val="00C444B6"/>
    <w:rsid w:val="00C4512F"/>
    <w:rsid w:val="00C45F80"/>
    <w:rsid w:val="00C46056"/>
    <w:rsid w:val="00C464DC"/>
    <w:rsid w:val="00C46D9D"/>
    <w:rsid w:val="00C46E90"/>
    <w:rsid w:val="00C471E7"/>
    <w:rsid w:val="00C47833"/>
    <w:rsid w:val="00C47E28"/>
    <w:rsid w:val="00C503B4"/>
    <w:rsid w:val="00C5077A"/>
    <w:rsid w:val="00C50C56"/>
    <w:rsid w:val="00C50C8F"/>
    <w:rsid w:val="00C50F7F"/>
    <w:rsid w:val="00C5178A"/>
    <w:rsid w:val="00C5189A"/>
    <w:rsid w:val="00C52143"/>
    <w:rsid w:val="00C52313"/>
    <w:rsid w:val="00C52716"/>
    <w:rsid w:val="00C5302D"/>
    <w:rsid w:val="00C54BDE"/>
    <w:rsid w:val="00C557F8"/>
    <w:rsid w:val="00C55BBC"/>
    <w:rsid w:val="00C5603A"/>
    <w:rsid w:val="00C564B1"/>
    <w:rsid w:val="00C6020A"/>
    <w:rsid w:val="00C619DE"/>
    <w:rsid w:val="00C61A2E"/>
    <w:rsid w:val="00C61AB8"/>
    <w:rsid w:val="00C6341B"/>
    <w:rsid w:val="00C637C3"/>
    <w:rsid w:val="00C63F4B"/>
    <w:rsid w:val="00C64A7D"/>
    <w:rsid w:val="00C64C36"/>
    <w:rsid w:val="00C64C9B"/>
    <w:rsid w:val="00C6692E"/>
    <w:rsid w:val="00C66F7F"/>
    <w:rsid w:val="00C708F1"/>
    <w:rsid w:val="00C70F1B"/>
    <w:rsid w:val="00C71125"/>
    <w:rsid w:val="00C71A2E"/>
    <w:rsid w:val="00C72F3E"/>
    <w:rsid w:val="00C73062"/>
    <w:rsid w:val="00C736E6"/>
    <w:rsid w:val="00C73BA0"/>
    <w:rsid w:val="00C73C1F"/>
    <w:rsid w:val="00C73ECF"/>
    <w:rsid w:val="00C73F5B"/>
    <w:rsid w:val="00C745A2"/>
    <w:rsid w:val="00C74918"/>
    <w:rsid w:val="00C75055"/>
    <w:rsid w:val="00C7527A"/>
    <w:rsid w:val="00C754AB"/>
    <w:rsid w:val="00C75CD3"/>
    <w:rsid w:val="00C760B7"/>
    <w:rsid w:val="00C76A57"/>
    <w:rsid w:val="00C76A73"/>
    <w:rsid w:val="00C76AB6"/>
    <w:rsid w:val="00C77489"/>
    <w:rsid w:val="00C77924"/>
    <w:rsid w:val="00C802CE"/>
    <w:rsid w:val="00C8037D"/>
    <w:rsid w:val="00C80CC7"/>
    <w:rsid w:val="00C80F2E"/>
    <w:rsid w:val="00C8187A"/>
    <w:rsid w:val="00C81C90"/>
    <w:rsid w:val="00C822A2"/>
    <w:rsid w:val="00C828C6"/>
    <w:rsid w:val="00C8374E"/>
    <w:rsid w:val="00C839E4"/>
    <w:rsid w:val="00C849AC"/>
    <w:rsid w:val="00C857E7"/>
    <w:rsid w:val="00C87735"/>
    <w:rsid w:val="00C8787B"/>
    <w:rsid w:val="00C919A4"/>
    <w:rsid w:val="00C91AAA"/>
    <w:rsid w:val="00C923E1"/>
    <w:rsid w:val="00C92997"/>
    <w:rsid w:val="00C92A2B"/>
    <w:rsid w:val="00C92A9E"/>
    <w:rsid w:val="00C93D7A"/>
    <w:rsid w:val="00C948EF"/>
    <w:rsid w:val="00C95A7A"/>
    <w:rsid w:val="00C95C09"/>
    <w:rsid w:val="00C95CCB"/>
    <w:rsid w:val="00C9720C"/>
    <w:rsid w:val="00CA0166"/>
    <w:rsid w:val="00CA0C31"/>
    <w:rsid w:val="00CA1644"/>
    <w:rsid w:val="00CA189C"/>
    <w:rsid w:val="00CA1FAA"/>
    <w:rsid w:val="00CA207C"/>
    <w:rsid w:val="00CA2EF3"/>
    <w:rsid w:val="00CA2F57"/>
    <w:rsid w:val="00CA3962"/>
    <w:rsid w:val="00CA3A82"/>
    <w:rsid w:val="00CA45EC"/>
    <w:rsid w:val="00CA5686"/>
    <w:rsid w:val="00CA6E3A"/>
    <w:rsid w:val="00CA6F48"/>
    <w:rsid w:val="00CA79D2"/>
    <w:rsid w:val="00CB023D"/>
    <w:rsid w:val="00CB1268"/>
    <w:rsid w:val="00CB1B8A"/>
    <w:rsid w:val="00CB31E7"/>
    <w:rsid w:val="00CB3EE1"/>
    <w:rsid w:val="00CB4BD7"/>
    <w:rsid w:val="00CB50D6"/>
    <w:rsid w:val="00CB5BD9"/>
    <w:rsid w:val="00CB68E7"/>
    <w:rsid w:val="00CB6C8A"/>
    <w:rsid w:val="00CB763C"/>
    <w:rsid w:val="00CC0142"/>
    <w:rsid w:val="00CC089E"/>
    <w:rsid w:val="00CC1BE3"/>
    <w:rsid w:val="00CC26A8"/>
    <w:rsid w:val="00CC27AF"/>
    <w:rsid w:val="00CC54D3"/>
    <w:rsid w:val="00CC5E97"/>
    <w:rsid w:val="00CC6033"/>
    <w:rsid w:val="00CC610D"/>
    <w:rsid w:val="00CC6AE9"/>
    <w:rsid w:val="00CC7DB9"/>
    <w:rsid w:val="00CD05B7"/>
    <w:rsid w:val="00CD0B74"/>
    <w:rsid w:val="00CD1537"/>
    <w:rsid w:val="00CD19E7"/>
    <w:rsid w:val="00CD1E89"/>
    <w:rsid w:val="00CD2563"/>
    <w:rsid w:val="00CD274E"/>
    <w:rsid w:val="00CD3191"/>
    <w:rsid w:val="00CD3953"/>
    <w:rsid w:val="00CD3E69"/>
    <w:rsid w:val="00CD433E"/>
    <w:rsid w:val="00CD4369"/>
    <w:rsid w:val="00CD4829"/>
    <w:rsid w:val="00CD4903"/>
    <w:rsid w:val="00CD4946"/>
    <w:rsid w:val="00CD579D"/>
    <w:rsid w:val="00CD5FDE"/>
    <w:rsid w:val="00CD6539"/>
    <w:rsid w:val="00CD6889"/>
    <w:rsid w:val="00CD694A"/>
    <w:rsid w:val="00CD69AC"/>
    <w:rsid w:val="00CD7291"/>
    <w:rsid w:val="00CD76AB"/>
    <w:rsid w:val="00CD7BAF"/>
    <w:rsid w:val="00CD7D0D"/>
    <w:rsid w:val="00CE1589"/>
    <w:rsid w:val="00CE166B"/>
    <w:rsid w:val="00CE1C6C"/>
    <w:rsid w:val="00CE1F7D"/>
    <w:rsid w:val="00CE1FB8"/>
    <w:rsid w:val="00CE2494"/>
    <w:rsid w:val="00CE2E8E"/>
    <w:rsid w:val="00CE3756"/>
    <w:rsid w:val="00CE3777"/>
    <w:rsid w:val="00CE4AD1"/>
    <w:rsid w:val="00CE587D"/>
    <w:rsid w:val="00CE58C2"/>
    <w:rsid w:val="00CE5AD5"/>
    <w:rsid w:val="00CE7176"/>
    <w:rsid w:val="00CE748B"/>
    <w:rsid w:val="00CE7E2E"/>
    <w:rsid w:val="00CF0003"/>
    <w:rsid w:val="00CF0C3D"/>
    <w:rsid w:val="00CF17F8"/>
    <w:rsid w:val="00CF1B00"/>
    <w:rsid w:val="00CF21DB"/>
    <w:rsid w:val="00CF2545"/>
    <w:rsid w:val="00CF2824"/>
    <w:rsid w:val="00CF3E23"/>
    <w:rsid w:val="00CF4597"/>
    <w:rsid w:val="00CF4969"/>
    <w:rsid w:val="00CF515F"/>
    <w:rsid w:val="00CF5252"/>
    <w:rsid w:val="00CF5792"/>
    <w:rsid w:val="00CF663A"/>
    <w:rsid w:val="00CF690D"/>
    <w:rsid w:val="00D00524"/>
    <w:rsid w:val="00D00D0D"/>
    <w:rsid w:val="00D019A2"/>
    <w:rsid w:val="00D024B0"/>
    <w:rsid w:val="00D02595"/>
    <w:rsid w:val="00D0311D"/>
    <w:rsid w:val="00D03852"/>
    <w:rsid w:val="00D038B6"/>
    <w:rsid w:val="00D03974"/>
    <w:rsid w:val="00D041E6"/>
    <w:rsid w:val="00D050EE"/>
    <w:rsid w:val="00D06A6A"/>
    <w:rsid w:val="00D06EA0"/>
    <w:rsid w:val="00D070E3"/>
    <w:rsid w:val="00D0749A"/>
    <w:rsid w:val="00D07AC5"/>
    <w:rsid w:val="00D121E0"/>
    <w:rsid w:val="00D16937"/>
    <w:rsid w:val="00D178F8"/>
    <w:rsid w:val="00D17CE4"/>
    <w:rsid w:val="00D20C9F"/>
    <w:rsid w:val="00D20DCD"/>
    <w:rsid w:val="00D21268"/>
    <w:rsid w:val="00D212CA"/>
    <w:rsid w:val="00D218DD"/>
    <w:rsid w:val="00D23824"/>
    <w:rsid w:val="00D23B47"/>
    <w:rsid w:val="00D24FDB"/>
    <w:rsid w:val="00D27485"/>
    <w:rsid w:val="00D2760F"/>
    <w:rsid w:val="00D27CBE"/>
    <w:rsid w:val="00D30AA1"/>
    <w:rsid w:val="00D30F91"/>
    <w:rsid w:val="00D31F18"/>
    <w:rsid w:val="00D321F0"/>
    <w:rsid w:val="00D324AE"/>
    <w:rsid w:val="00D32E82"/>
    <w:rsid w:val="00D330ED"/>
    <w:rsid w:val="00D334B9"/>
    <w:rsid w:val="00D33F86"/>
    <w:rsid w:val="00D3436B"/>
    <w:rsid w:val="00D353E3"/>
    <w:rsid w:val="00D36196"/>
    <w:rsid w:val="00D36549"/>
    <w:rsid w:val="00D368EF"/>
    <w:rsid w:val="00D36E74"/>
    <w:rsid w:val="00D40202"/>
    <w:rsid w:val="00D40DCC"/>
    <w:rsid w:val="00D4173D"/>
    <w:rsid w:val="00D42089"/>
    <w:rsid w:val="00D432FD"/>
    <w:rsid w:val="00D43613"/>
    <w:rsid w:val="00D43F02"/>
    <w:rsid w:val="00D4543D"/>
    <w:rsid w:val="00D4568B"/>
    <w:rsid w:val="00D4609C"/>
    <w:rsid w:val="00D46186"/>
    <w:rsid w:val="00D464F6"/>
    <w:rsid w:val="00D46FDA"/>
    <w:rsid w:val="00D4733C"/>
    <w:rsid w:val="00D47A93"/>
    <w:rsid w:val="00D47BC6"/>
    <w:rsid w:val="00D50907"/>
    <w:rsid w:val="00D50B2B"/>
    <w:rsid w:val="00D5344C"/>
    <w:rsid w:val="00D53C2C"/>
    <w:rsid w:val="00D54BE8"/>
    <w:rsid w:val="00D55474"/>
    <w:rsid w:val="00D55829"/>
    <w:rsid w:val="00D55C4C"/>
    <w:rsid w:val="00D57191"/>
    <w:rsid w:val="00D571E1"/>
    <w:rsid w:val="00D604CF"/>
    <w:rsid w:val="00D60CC5"/>
    <w:rsid w:val="00D611D7"/>
    <w:rsid w:val="00D61897"/>
    <w:rsid w:val="00D61FFA"/>
    <w:rsid w:val="00D62927"/>
    <w:rsid w:val="00D62EF0"/>
    <w:rsid w:val="00D63154"/>
    <w:rsid w:val="00D6393E"/>
    <w:rsid w:val="00D6540F"/>
    <w:rsid w:val="00D66451"/>
    <w:rsid w:val="00D66ABD"/>
    <w:rsid w:val="00D66F37"/>
    <w:rsid w:val="00D67008"/>
    <w:rsid w:val="00D71EFD"/>
    <w:rsid w:val="00D72690"/>
    <w:rsid w:val="00D7327E"/>
    <w:rsid w:val="00D73D10"/>
    <w:rsid w:val="00D7438F"/>
    <w:rsid w:val="00D74BED"/>
    <w:rsid w:val="00D74E24"/>
    <w:rsid w:val="00D75444"/>
    <w:rsid w:val="00D75948"/>
    <w:rsid w:val="00D76797"/>
    <w:rsid w:val="00D77A87"/>
    <w:rsid w:val="00D80C9E"/>
    <w:rsid w:val="00D81003"/>
    <w:rsid w:val="00D81178"/>
    <w:rsid w:val="00D81709"/>
    <w:rsid w:val="00D8263F"/>
    <w:rsid w:val="00D82B44"/>
    <w:rsid w:val="00D83542"/>
    <w:rsid w:val="00D8365A"/>
    <w:rsid w:val="00D84067"/>
    <w:rsid w:val="00D8411B"/>
    <w:rsid w:val="00D8454D"/>
    <w:rsid w:val="00D8487D"/>
    <w:rsid w:val="00D855D2"/>
    <w:rsid w:val="00D86120"/>
    <w:rsid w:val="00D8643E"/>
    <w:rsid w:val="00D8645D"/>
    <w:rsid w:val="00D8645E"/>
    <w:rsid w:val="00D879DD"/>
    <w:rsid w:val="00D87BDF"/>
    <w:rsid w:val="00D90332"/>
    <w:rsid w:val="00D90528"/>
    <w:rsid w:val="00D913BF"/>
    <w:rsid w:val="00D92D38"/>
    <w:rsid w:val="00D92FBE"/>
    <w:rsid w:val="00D93297"/>
    <w:rsid w:val="00D93CEA"/>
    <w:rsid w:val="00D94F3E"/>
    <w:rsid w:val="00D95588"/>
    <w:rsid w:val="00D95A67"/>
    <w:rsid w:val="00D95FE8"/>
    <w:rsid w:val="00DA0212"/>
    <w:rsid w:val="00DA029B"/>
    <w:rsid w:val="00DA02EF"/>
    <w:rsid w:val="00DA1B75"/>
    <w:rsid w:val="00DA1CEE"/>
    <w:rsid w:val="00DA320D"/>
    <w:rsid w:val="00DA3577"/>
    <w:rsid w:val="00DA358E"/>
    <w:rsid w:val="00DA441F"/>
    <w:rsid w:val="00DA5204"/>
    <w:rsid w:val="00DA520E"/>
    <w:rsid w:val="00DA60C8"/>
    <w:rsid w:val="00DA6660"/>
    <w:rsid w:val="00DB03F4"/>
    <w:rsid w:val="00DB08A4"/>
    <w:rsid w:val="00DB1CBD"/>
    <w:rsid w:val="00DB2433"/>
    <w:rsid w:val="00DB2444"/>
    <w:rsid w:val="00DB25DB"/>
    <w:rsid w:val="00DB2942"/>
    <w:rsid w:val="00DB2AC2"/>
    <w:rsid w:val="00DB3D5A"/>
    <w:rsid w:val="00DB4138"/>
    <w:rsid w:val="00DB4B5A"/>
    <w:rsid w:val="00DB52FD"/>
    <w:rsid w:val="00DB71F2"/>
    <w:rsid w:val="00DB7958"/>
    <w:rsid w:val="00DC0758"/>
    <w:rsid w:val="00DC19BD"/>
    <w:rsid w:val="00DC28C9"/>
    <w:rsid w:val="00DC2A11"/>
    <w:rsid w:val="00DC2AC8"/>
    <w:rsid w:val="00DC2F17"/>
    <w:rsid w:val="00DC5EDE"/>
    <w:rsid w:val="00DC6A7E"/>
    <w:rsid w:val="00DC7128"/>
    <w:rsid w:val="00DC7E49"/>
    <w:rsid w:val="00DD0574"/>
    <w:rsid w:val="00DD0C96"/>
    <w:rsid w:val="00DD240D"/>
    <w:rsid w:val="00DD2F53"/>
    <w:rsid w:val="00DD3F09"/>
    <w:rsid w:val="00DD44B7"/>
    <w:rsid w:val="00DD46B5"/>
    <w:rsid w:val="00DD47FD"/>
    <w:rsid w:val="00DD4D11"/>
    <w:rsid w:val="00DD4FE6"/>
    <w:rsid w:val="00DE01BC"/>
    <w:rsid w:val="00DE09DD"/>
    <w:rsid w:val="00DE0DE2"/>
    <w:rsid w:val="00DE1A10"/>
    <w:rsid w:val="00DE2510"/>
    <w:rsid w:val="00DE2AD1"/>
    <w:rsid w:val="00DE2BF3"/>
    <w:rsid w:val="00DE2D46"/>
    <w:rsid w:val="00DE360D"/>
    <w:rsid w:val="00DE3ACD"/>
    <w:rsid w:val="00DE3EF7"/>
    <w:rsid w:val="00DE4311"/>
    <w:rsid w:val="00DE5EB0"/>
    <w:rsid w:val="00DE6220"/>
    <w:rsid w:val="00DE7398"/>
    <w:rsid w:val="00DF290D"/>
    <w:rsid w:val="00DF2EA2"/>
    <w:rsid w:val="00DF30A8"/>
    <w:rsid w:val="00DF343C"/>
    <w:rsid w:val="00DF3A15"/>
    <w:rsid w:val="00DF52E2"/>
    <w:rsid w:val="00DF54F6"/>
    <w:rsid w:val="00DF56F9"/>
    <w:rsid w:val="00DF5AED"/>
    <w:rsid w:val="00E01669"/>
    <w:rsid w:val="00E01D52"/>
    <w:rsid w:val="00E02845"/>
    <w:rsid w:val="00E03186"/>
    <w:rsid w:val="00E032C1"/>
    <w:rsid w:val="00E0351C"/>
    <w:rsid w:val="00E0366B"/>
    <w:rsid w:val="00E03C84"/>
    <w:rsid w:val="00E040B6"/>
    <w:rsid w:val="00E04894"/>
    <w:rsid w:val="00E04A16"/>
    <w:rsid w:val="00E05D0E"/>
    <w:rsid w:val="00E06866"/>
    <w:rsid w:val="00E06C2A"/>
    <w:rsid w:val="00E06C86"/>
    <w:rsid w:val="00E075B0"/>
    <w:rsid w:val="00E07B59"/>
    <w:rsid w:val="00E113E4"/>
    <w:rsid w:val="00E114A8"/>
    <w:rsid w:val="00E12007"/>
    <w:rsid w:val="00E12244"/>
    <w:rsid w:val="00E13A11"/>
    <w:rsid w:val="00E13DBF"/>
    <w:rsid w:val="00E13E34"/>
    <w:rsid w:val="00E14C12"/>
    <w:rsid w:val="00E15DA7"/>
    <w:rsid w:val="00E15EDE"/>
    <w:rsid w:val="00E16B67"/>
    <w:rsid w:val="00E172C7"/>
    <w:rsid w:val="00E20119"/>
    <w:rsid w:val="00E20BC9"/>
    <w:rsid w:val="00E21662"/>
    <w:rsid w:val="00E21A62"/>
    <w:rsid w:val="00E2374C"/>
    <w:rsid w:val="00E238B5"/>
    <w:rsid w:val="00E239EC"/>
    <w:rsid w:val="00E23ACD"/>
    <w:rsid w:val="00E23B6A"/>
    <w:rsid w:val="00E253AD"/>
    <w:rsid w:val="00E25669"/>
    <w:rsid w:val="00E25BBF"/>
    <w:rsid w:val="00E25DDA"/>
    <w:rsid w:val="00E25FA6"/>
    <w:rsid w:val="00E262CA"/>
    <w:rsid w:val="00E268D2"/>
    <w:rsid w:val="00E27908"/>
    <w:rsid w:val="00E27CA2"/>
    <w:rsid w:val="00E3001A"/>
    <w:rsid w:val="00E326D6"/>
    <w:rsid w:val="00E327C1"/>
    <w:rsid w:val="00E32873"/>
    <w:rsid w:val="00E32B27"/>
    <w:rsid w:val="00E33021"/>
    <w:rsid w:val="00E331AE"/>
    <w:rsid w:val="00E33829"/>
    <w:rsid w:val="00E34E82"/>
    <w:rsid w:val="00E35F31"/>
    <w:rsid w:val="00E36599"/>
    <w:rsid w:val="00E36A62"/>
    <w:rsid w:val="00E37206"/>
    <w:rsid w:val="00E3786E"/>
    <w:rsid w:val="00E37E70"/>
    <w:rsid w:val="00E401D0"/>
    <w:rsid w:val="00E410C4"/>
    <w:rsid w:val="00E411B9"/>
    <w:rsid w:val="00E41279"/>
    <w:rsid w:val="00E41D47"/>
    <w:rsid w:val="00E423E3"/>
    <w:rsid w:val="00E4299F"/>
    <w:rsid w:val="00E42D13"/>
    <w:rsid w:val="00E43513"/>
    <w:rsid w:val="00E4387F"/>
    <w:rsid w:val="00E45B36"/>
    <w:rsid w:val="00E462CC"/>
    <w:rsid w:val="00E465C4"/>
    <w:rsid w:val="00E46982"/>
    <w:rsid w:val="00E470BC"/>
    <w:rsid w:val="00E47659"/>
    <w:rsid w:val="00E501D1"/>
    <w:rsid w:val="00E50D0F"/>
    <w:rsid w:val="00E50D75"/>
    <w:rsid w:val="00E514FB"/>
    <w:rsid w:val="00E5161E"/>
    <w:rsid w:val="00E51F9C"/>
    <w:rsid w:val="00E539EC"/>
    <w:rsid w:val="00E53D9A"/>
    <w:rsid w:val="00E54542"/>
    <w:rsid w:val="00E55209"/>
    <w:rsid w:val="00E5612E"/>
    <w:rsid w:val="00E60806"/>
    <w:rsid w:val="00E6123A"/>
    <w:rsid w:val="00E61953"/>
    <w:rsid w:val="00E63367"/>
    <w:rsid w:val="00E6456E"/>
    <w:rsid w:val="00E64B7D"/>
    <w:rsid w:val="00E65514"/>
    <w:rsid w:val="00E65651"/>
    <w:rsid w:val="00E65774"/>
    <w:rsid w:val="00E666CB"/>
    <w:rsid w:val="00E7106E"/>
    <w:rsid w:val="00E722B6"/>
    <w:rsid w:val="00E72547"/>
    <w:rsid w:val="00E72B37"/>
    <w:rsid w:val="00E72BB6"/>
    <w:rsid w:val="00E74AE6"/>
    <w:rsid w:val="00E7517B"/>
    <w:rsid w:val="00E75834"/>
    <w:rsid w:val="00E75C14"/>
    <w:rsid w:val="00E75E2D"/>
    <w:rsid w:val="00E76108"/>
    <w:rsid w:val="00E768E4"/>
    <w:rsid w:val="00E76D55"/>
    <w:rsid w:val="00E801D1"/>
    <w:rsid w:val="00E80E1E"/>
    <w:rsid w:val="00E82DBB"/>
    <w:rsid w:val="00E83194"/>
    <w:rsid w:val="00E83B66"/>
    <w:rsid w:val="00E8433B"/>
    <w:rsid w:val="00E848CC"/>
    <w:rsid w:val="00E857CE"/>
    <w:rsid w:val="00E86037"/>
    <w:rsid w:val="00E86893"/>
    <w:rsid w:val="00E8719A"/>
    <w:rsid w:val="00E90FEC"/>
    <w:rsid w:val="00E91C6D"/>
    <w:rsid w:val="00E921AD"/>
    <w:rsid w:val="00E925CD"/>
    <w:rsid w:val="00E9263E"/>
    <w:rsid w:val="00E92918"/>
    <w:rsid w:val="00E931FD"/>
    <w:rsid w:val="00E95195"/>
    <w:rsid w:val="00E95AC2"/>
    <w:rsid w:val="00EA0860"/>
    <w:rsid w:val="00EA1C04"/>
    <w:rsid w:val="00EA1E34"/>
    <w:rsid w:val="00EA2832"/>
    <w:rsid w:val="00EA2A12"/>
    <w:rsid w:val="00EA3193"/>
    <w:rsid w:val="00EA32EA"/>
    <w:rsid w:val="00EA34F6"/>
    <w:rsid w:val="00EA3C33"/>
    <w:rsid w:val="00EA3CEE"/>
    <w:rsid w:val="00EA4D27"/>
    <w:rsid w:val="00EA5205"/>
    <w:rsid w:val="00EA5B4F"/>
    <w:rsid w:val="00EA60E1"/>
    <w:rsid w:val="00EA69C2"/>
    <w:rsid w:val="00EA69C5"/>
    <w:rsid w:val="00EA6FE5"/>
    <w:rsid w:val="00EA7866"/>
    <w:rsid w:val="00EA7899"/>
    <w:rsid w:val="00EB0E56"/>
    <w:rsid w:val="00EB18A5"/>
    <w:rsid w:val="00EB2769"/>
    <w:rsid w:val="00EB344D"/>
    <w:rsid w:val="00EB4A5B"/>
    <w:rsid w:val="00EB4FAA"/>
    <w:rsid w:val="00EB503A"/>
    <w:rsid w:val="00EB547E"/>
    <w:rsid w:val="00EB7A52"/>
    <w:rsid w:val="00EC0C57"/>
    <w:rsid w:val="00EC160C"/>
    <w:rsid w:val="00EC2120"/>
    <w:rsid w:val="00EC2843"/>
    <w:rsid w:val="00EC29D6"/>
    <w:rsid w:val="00EC38CE"/>
    <w:rsid w:val="00EC3FC9"/>
    <w:rsid w:val="00EC4952"/>
    <w:rsid w:val="00EC6BFD"/>
    <w:rsid w:val="00EC7080"/>
    <w:rsid w:val="00ED0580"/>
    <w:rsid w:val="00ED2081"/>
    <w:rsid w:val="00ED2719"/>
    <w:rsid w:val="00ED28C9"/>
    <w:rsid w:val="00ED292D"/>
    <w:rsid w:val="00ED2ECB"/>
    <w:rsid w:val="00ED49F4"/>
    <w:rsid w:val="00ED51EA"/>
    <w:rsid w:val="00ED5BC2"/>
    <w:rsid w:val="00ED6721"/>
    <w:rsid w:val="00ED75D0"/>
    <w:rsid w:val="00ED7A02"/>
    <w:rsid w:val="00ED7CA1"/>
    <w:rsid w:val="00EE0A57"/>
    <w:rsid w:val="00EE0C03"/>
    <w:rsid w:val="00EE3FC6"/>
    <w:rsid w:val="00EE4B96"/>
    <w:rsid w:val="00EE5098"/>
    <w:rsid w:val="00EE5A53"/>
    <w:rsid w:val="00EE5CC8"/>
    <w:rsid w:val="00EE67A3"/>
    <w:rsid w:val="00EE6C3C"/>
    <w:rsid w:val="00EE70DE"/>
    <w:rsid w:val="00EE76CA"/>
    <w:rsid w:val="00EE779E"/>
    <w:rsid w:val="00EF0947"/>
    <w:rsid w:val="00EF0EC9"/>
    <w:rsid w:val="00EF0F8A"/>
    <w:rsid w:val="00EF29BF"/>
    <w:rsid w:val="00EF2DED"/>
    <w:rsid w:val="00EF3E0C"/>
    <w:rsid w:val="00EF3EA0"/>
    <w:rsid w:val="00EF3F5C"/>
    <w:rsid w:val="00EF4810"/>
    <w:rsid w:val="00EF4CAF"/>
    <w:rsid w:val="00EF579B"/>
    <w:rsid w:val="00EF7D89"/>
    <w:rsid w:val="00EF7FAD"/>
    <w:rsid w:val="00F004B8"/>
    <w:rsid w:val="00F00F40"/>
    <w:rsid w:val="00F011B3"/>
    <w:rsid w:val="00F0198B"/>
    <w:rsid w:val="00F02357"/>
    <w:rsid w:val="00F028AF"/>
    <w:rsid w:val="00F034EF"/>
    <w:rsid w:val="00F03CF4"/>
    <w:rsid w:val="00F041EE"/>
    <w:rsid w:val="00F05523"/>
    <w:rsid w:val="00F0560A"/>
    <w:rsid w:val="00F059DC"/>
    <w:rsid w:val="00F064EE"/>
    <w:rsid w:val="00F06832"/>
    <w:rsid w:val="00F06CC8"/>
    <w:rsid w:val="00F116C1"/>
    <w:rsid w:val="00F119E0"/>
    <w:rsid w:val="00F12402"/>
    <w:rsid w:val="00F13980"/>
    <w:rsid w:val="00F139D5"/>
    <w:rsid w:val="00F14512"/>
    <w:rsid w:val="00F14E25"/>
    <w:rsid w:val="00F15366"/>
    <w:rsid w:val="00F15BB0"/>
    <w:rsid w:val="00F15C25"/>
    <w:rsid w:val="00F173E6"/>
    <w:rsid w:val="00F208A0"/>
    <w:rsid w:val="00F20951"/>
    <w:rsid w:val="00F20C5E"/>
    <w:rsid w:val="00F231B7"/>
    <w:rsid w:val="00F23B3E"/>
    <w:rsid w:val="00F23C57"/>
    <w:rsid w:val="00F24468"/>
    <w:rsid w:val="00F24B5F"/>
    <w:rsid w:val="00F257DA"/>
    <w:rsid w:val="00F25BB8"/>
    <w:rsid w:val="00F34538"/>
    <w:rsid w:val="00F348D5"/>
    <w:rsid w:val="00F351FC"/>
    <w:rsid w:val="00F36A4E"/>
    <w:rsid w:val="00F37159"/>
    <w:rsid w:val="00F3718A"/>
    <w:rsid w:val="00F37AF4"/>
    <w:rsid w:val="00F37C6D"/>
    <w:rsid w:val="00F37E5D"/>
    <w:rsid w:val="00F40181"/>
    <w:rsid w:val="00F401A0"/>
    <w:rsid w:val="00F411D6"/>
    <w:rsid w:val="00F41417"/>
    <w:rsid w:val="00F41426"/>
    <w:rsid w:val="00F41495"/>
    <w:rsid w:val="00F42BAE"/>
    <w:rsid w:val="00F42C4C"/>
    <w:rsid w:val="00F42D0C"/>
    <w:rsid w:val="00F42DF9"/>
    <w:rsid w:val="00F43B7A"/>
    <w:rsid w:val="00F43FD0"/>
    <w:rsid w:val="00F44267"/>
    <w:rsid w:val="00F44CF1"/>
    <w:rsid w:val="00F4514E"/>
    <w:rsid w:val="00F460A1"/>
    <w:rsid w:val="00F4621B"/>
    <w:rsid w:val="00F4623D"/>
    <w:rsid w:val="00F46761"/>
    <w:rsid w:val="00F46EC7"/>
    <w:rsid w:val="00F478D6"/>
    <w:rsid w:val="00F47A25"/>
    <w:rsid w:val="00F50156"/>
    <w:rsid w:val="00F50FE8"/>
    <w:rsid w:val="00F5179B"/>
    <w:rsid w:val="00F529F1"/>
    <w:rsid w:val="00F52BB8"/>
    <w:rsid w:val="00F5431A"/>
    <w:rsid w:val="00F547F0"/>
    <w:rsid w:val="00F54F01"/>
    <w:rsid w:val="00F550B4"/>
    <w:rsid w:val="00F552F3"/>
    <w:rsid w:val="00F55334"/>
    <w:rsid w:val="00F5539B"/>
    <w:rsid w:val="00F554A4"/>
    <w:rsid w:val="00F557B0"/>
    <w:rsid w:val="00F55C6C"/>
    <w:rsid w:val="00F560E6"/>
    <w:rsid w:val="00F567D9"/>
    <w:rsid w:val="00F57DC7"/>
    <w:rsid w:val="00F60325"/>
    <w:rsid w:val="00F63061"/>
    <w:rsid w:val="00F6312F"/>
    <w:rsid w:val="00F6350B"/>
    <w:rsid w:val="00F63B78"/>
    <w:rsid w:val="00F6413E"/>
    <w:rsid w:val="00F64321"/>
    <w:rsid w:val="00F6453D"/>
    <w:rsid w:val="00F648ED"/>
    <w:rsid w:val="00F649FB"/>
    <w:rsid w:val="00F64B14"/>
    <w:rsid w:val="00F656FB"/>
    <w:rsid w:val="00F66CEA"/>
    <w:rsid w:val="00F67001"/>
    <w:rsid w:val="00F6791B"/>
    <w:rsid w:val="00F67BAD"/>
    <w:rsid w:val="00F67BDB"/>
    <w:rsid w:val="00F67D04"/>
    <w:rsid w:val="00F706D2"/>
    <w:rsid w:val="00F713B7"/>
    <w:rsid w:val="00F7157A"/>
    <w:rsid w:val="00F7163A"/>
    <w:rsid w:val="00F71C6F"/>
    <w:rsid w:val="00F72003"/>
    <w:rsid w:val="00F72FEF"/>
    <w:rsid w:val="00F74E89"/>
    <w:rsid w:val="00F76D43"/>
    <w:rsid w:val="00F777BC"/>
    <w:rsid w:val="00F77CE7"/>
    <w:rsid w:val="00F80D28"/>
    <w:rsid w:val="00F8390F"/>
    <w:rsid w:val="00F83913"/>
    <w:rsid w:val="00F855EA"/>
    <w:rsid w:val="00F858B6"/>
    <w:rsid w:val="00F85F35"/>
    <w:rsid w:val="00F86A86"/>
    <w:rsid w:val="00F86EF8"/>
    <w:rsid w:val="00F86FE2"/>
    <w:rsid w:val="00F86FE9"/>
    <w:rsid w:val="00F876BA"/>
    <w:rsid w:val="00F904C4"/>
    <w:rsid w:val="00F908A0"/>
    <w:rsid w:val="00F90BAA"/>
    <w:rsid w:val="00F90F95"/>
    <w:rsid w:val="00F91295"/>
    <w:rsid w:val="00F91B84"/>
    <w:rsid w:val="00F91CCA"/>
    <w:rsid w:val="00F923EE"/>
    <w:rsid w:val="00F92672"/>
    <w:rsid w:val="00F9279F"/>
    <w:rsid w:val="00F927BF"/>
    <w:rsid w:val="00F927F4"/>
    <w:rsid w:val="00F92942"/>
    <w:rsid w:val="00F92AA8"/>
    <w:rsid w:val="00F92C40"/>
    <w:rsid w:val="00F92FD8"/>
    <w:rsid w:val="00F930F9"/>
    <w:rsid w:val="00F93593"/>
    <w:rsid w:val="00F939C9"/>
    <w:rsid w:val="00F943EE"/>
    <w:rsid w:val="00F9519F"/>
    <w:rsid w:val="00F958E6"/>
    <w:rsid w:val="00F95958"/>
    <w:rsid w:val="00FA11A6"/>
    <w:rsid w:val="00FA15A3"/>
    <w:rsid w:val="00FA1D39"/>
    <w:rsid w:val="00FA2586"/>
    <w:rsid w:val="00FA4445"/>
    <w:rsid w:val="00FA50BD"/>
    <w:rsid w:val="00FA5BA0"/>
    <w:rsid w:val="00FA5F84"/>
    <w:rsid w:val="00FA62F5"/>
    <w:rsid w:val="00FA679D"/>
    <w:rsid w:val="00FA7180"/>
    <w:rsid w:val="00FB12EB"/>
    <w:rsid w:val="00FB1BAE"/>
    <w:rsid w:val="00FB276C"/>
    <w:rsid w:val="00FB6109"/>
    <w:rsid w:val="00FB6EE3"/>
    <w:rsid w:val="00FB7061"/>
    <w:rsid w:val="00FB79B2"/>
    <w:rsid w:val="00FC1405"/>
    <w:rsid w:val="00FC1846"/>
    <w:rsid w:val="00FC1D1E"/>
    <w:rsid w:val="00FC1F66"/>
    <w:rsid w:val="00FC283C"/>
    <w:rsid w:val="00FC57C3"/>
    <w:rsid w:val="00FC7040"/>
    <w:rsid w:val="00FC7371"/>
    <w:rsid w:val="00FC7A8E"/>
    <w:rsid w:val="00FC7FAB"/>
    <w:rsid w:val="00FD1237"/>
    <w:rsid w:val="00FD16F2"/>
    <w:rsid w:val="00FD1CA6"/>
    <w:rsid w:val="00FD222E"/>
    <w:rsid w:val="00FD2F46"/>
    <w:rsid w:val="00FD2FB0"/>
    <w:rsid w:val="00FD384B"/>
    <w:rsid w:val="00FD3DE1"/>
    <w:rsid w:val="00FD42EC"/>
    <w:rsid w:val="00FD451D"/>
    <w:rsid w:val="00FD72F5"/>
    <w:rsid w:val="00FD7316"/>
    <w:rsid w:val="00FD7D3D"/>
    <w:rsid w:val="00FE04A6"/>
    <w:rsid w:val="00FE1422"/>
    <w:rsid w:val="00FE1E9E"/>
    <w:rsid w:val="00FE25C0"/>
    <w:rsid w:val="00FE28D9"/>
    <w:rsid w:val="00FE3A72"/>
    <w:rsid w:val="00FE4676"/>
    <w:rsid w:val="00FE4737"/>
    <w:rsid w:val="00FE4E62"/>
    <w:rsid w:val="00FE5667"/>
    <w:rsid w:val="00FE56F8"/>
    <w:rsid w:val="00FE6A00"/>
    <w:rsid w:val="00FF1DB1"/>
    <w:rsid w:val="00FF4063"/>
    <w:rsid w:val="00FF45E5"/>
    <w:rsid w:val="00FF4C58"/>
    <w:rsid w:val="00FF54F4"/>
    <w:rsid w:val="00FF6476"/>
    <w:rsid w:val="00FF6A1C"/>
    <w:rsid w:val="00FF7498"/>
    <w:rsid w:val="00FF777A"/>
    <w:rsid w:val="00FF7B3B"/>
    <w:rsid w:val="00FF7FE6"/>
    <w:rsid w:val="01CE153B"/>
    <w:rsid w:val="020551AF"/>
    <w:rsid w:val="03148BB4"/>
    <w:rsid w:val="0321C92D"/>
    <w:rsid w:val="033561E4"/>
    <w:rsid w:val="03C0B14A"/>
    <w:rsid w:val="0437CEF0"/>
    <w:rsid w:val="0769EBAC"/>
    <w:rsid w:val="079F5C4B"/>
    <w:rsid w:val="07EE7CB5"/>
    <w:rsid w:val="08897299"/>
    <w:rsid w:val="08E078A1"/>
    <w:rsid w:val="08F9E5D5"/>
    <w:rsid w:val="0A2740DB"/>
    <w:rsid w:val="0B023B70"/>
    <w:rsid w:val="0C821F36"/>
    <w:rsid w:val="0C84EB16"/>
    <w:rsid w:val="0D23D5C3"/>
    <w:rsid w:val="0D3A576D"/>
    <w:rsid w:val="0D5DEF7D"/>
    <w:rsid w:val="0D68A42E"/>
    <w:rsid w:val="0D7E1699"/>
    <w:rsid w:val="0F1D5F72"/>
    <w:rsid w:val="0FB119BB"/>
    <w:rsid w:val="1016DFAA"/>
    <w:rsid w:val="10F6D1AF"/>
    <w:rsid w:val="117D2825"/>
    <w:rsid w:val="11FAA089"/>
    <w:rsid w:val="12D40C8B"/>
    <w:rsid w:val="12F49BF3"/>
    <w:rsid w:val="138D1997"/>
    <w:rsid w:val="149EC4D3"/>
    <w:rsid w:val="15E54E91"/>
    <w:rsid w:val="16F7FA62"/>
    <w:rsid w:val="17BA9FAD"/>
    <w:rsid w:val="1917F725"/>
    <w:rsid w:val="1958EA3B"/>
    <w:rsid w:val="1AF20BB1"/>
    <w:rsid w:val="1C4F97E7"/>
    <w:rsid w:val="1CEC0693"/>
    <w:rsid w:val="1EC97C51"/>
    <w:rsid w:val="1EDA838F"/>
    <w:rsid w:val="1EED21EF"/>
    <w:rsid w:val="1FE089D3"/>
    <w:rsid w:val="2211B109"/>
    <w:rsid w:val="224CFB92"/>
    <w:rsid w:val="2298E6BB"/>
    <w:rsid w:val="23A5D465"/>
    <w:rsid w:val="2401F41F"/>
    <w:rsid w:val="2455DBAA"/>
    <w:rsid w:val="271EC286"/>
    <w:rsid w:val="278EDF0A"/>
    <w:rsid w:val="280A9A2E"/>
    <w:rsid w:val="2817CF4D"/>
    <w:rsid w:val="2851359A"/>
    <w:rsid w:val="285C23D0"/>
    <w:rsid w:val="2B192441"/>
    <w:rsid w:val="2BB8DC1B"/>
    <w:rsid w:val="2C79B04A"/>
    <w:rsid w:val="2CC48DC5"/>
    <w:rsid w:val="2EA36A98"/>
    <w:rsid w:val="2F92F33D"/>
    <w:rsid w:val="2FABC70E"/>
    <w:rsid w:val="2FF32129"/>
    <w:rsid w:val="3031BEC8"/>
    <w:rsid w:val="30374DCF"/>
    <w:rsid w:val="3084D7C9"/>
    <w:rsid w:val="31897F7D"/>
    <w:rsid w:val="31FA5A36"/>
    <w:rsid w:val="3383FA2A"/>
    <w:rsid w:val="33AF97CB"/>
    <w:rsid w:val="352644D3"/>
    <w:rsid w:val="36977F8B"/>
    <w:rsid w:val="36999D99"/>
    <w:rsid w:val="36EBCC14"/>
    <w:rsid w:val="383C8110"/>
    <w:rsid w:val="39F50D93"/>
    <w:rsid w:val="3B0180DF"/>
    <w:rsid w:val="3B3994C5"/>
    <w:rsid w:val="3B7017E3"/>
    <w:rsid w:val="3B89430F"/>
    <w:rsid w:val="3B94A732"/>
    <w:rsid w:val="3BA00D8C"/>
    <w:rsid w:val="3C17B980"/>
    <w:rsid w:val="3C7D9D1E"/>
    <w:rsid w:val="3C9338AB"/>
    <w:rsid w:val="3DB0DE05"/>
    <w:rsid w:val="3DBC76E8"/>
    <w:rsid w:val="401FB6AD"/>
    <w:rsid w:val="4030E27D"/>
    <w:rsid w:val="40E3A2BF"/>
    <w:rsid w:val="414199D2"/>
    <w:rsid w:val="427EBC34"/>
    <w:rsid w:val="43468E61"/>
    <w:rsid w:val="436462BC"/>
    <w:rsid w:val="43F5F366"/>
    <w:rsid w:val="443B13A5"/>
    <w:rsid w:val="44753E85"/>
    <w:rsid w:val="44796C32"/>
    <w:rsid w:val="458E9410"/>
    <w:rsid w:val="45B04DAD"/>
    <w:rsid w:val="4670BAA2"/>
    <w:rsid w:val="4671FA56"/>
    <w:rsid w:val="46AD08B0"/>
    <w:rsid w:val="46DA44A9"/>
    <w:rsid w:val="47900BA1"/>
    <w:rsid w:val="47F387C2"/>
    <w:rsid w:val="48794E4E"/>
    <w:rsid w:val="4898FDA6"/>
    <w:rsid w:val="4984E33C"/>
    <w:rsid w:val="498510DF"/>
    <w:rsid w:val="498F5823"/>
    <w:rsid w:val="4AC90A97"/>
    <w:rsid w:val="4B1118E4"/>
    <w:rsid w:val="4BE4C30E"/>
    <w:rsid w:val="4DE706F5"/>
    <w:rsid w:val="4F102688"/>
    <w:rsid w:val="4F73E722"/>
    <w:rsid w:val="51281F8F"/>
    <w:rsid w:val="522A0605"/>
    <w:rsid w:val="526E97AE"/>
    <w:rsid w:val="52DA00F9"/>
    <w:rsid w:val="52ED3894"/>
    <w:rsid w:val="535A4E46"/>
    <w:rsid w:val="55052B25"/>
    <w:rsid w:val="557B242D"/>
    <w:rsid w:val="557B7A44"/>
    <w:rsid w:val="559B19C3"/>
    <w:rsid w:val="55A69C78"/>
    <w:rsid w:val="55DC24C4"/>
    <w:rsid w:val="56161FCE"/>
    <w:rsid w:val="56AF483B"/>
    <w:rsid w:val="56DEBF81"/>
    <w:rsid w:val="59F4949B"/>
    <w:rsid w:val="5A35C2BF"/>
    <w:rsid w:val="5A492455"/>
    <w:rsid w:val="5A5BFE72"/>
    <w:rsid w:val="5A956AB2"/>
    <w:rsid w:val="5AB214E3"/>
    <w:rsid w:val="5AB37B5A"/>
    <w:rsid w:val="5C07444E"/>
    <w:rsid w:val="5C16D0C1"/>
    <w:rsid w:val="5CFF4D2A"/>
    <w:rsid w:val="5E6B9439"/>
    <w:rsid w:val="5EDB5916"/>
    <w:rsid w:val="6014AA14"/>
    <w:rsid w:val="602A45A1"/>
    <w:rsid w:val="60E2BA00"/>
    <w:rsid w:val="620AA84A"/>
    <w:rsid w:val="625E4EF5"/>
    <w:rsid w:val="63C37CA8"/>
    <w:rsid w:val="649B9C64"/>
    <w:rsid w:val="64C6E94E"/>
    <w:rsid w:val="666D1683"/>
    <w:rsid w:val="67894E09"/>
    <w:rsid w:val="67A1EF4A"/>
    <w:rsid w:val="67F303AA"/>
    <w:rsid w:val="68DF9003"/>
    <w:rsid w:val="68E1418F"/>
    <w:rsid w:val="695F28DE"/>
    <w:rsid w:val="6A7D11F0"/>
    <w:rsid w:val="6B5FE0BE"/>
    <w:rsid w:val="6BBA9C41"/>
    <w:rsid w:val="6C357F2B"/>
    <w:rsid w:val="6C364D6F"/>
    <w:rsid w:val="6D4889A2"/>
    <w:rsid w:val="6D7B67EF"/>
    <w:rsid w:val="6EFCB789"/>
    <w:rsid w:val="6FA439FF"/>
    <w:rsid w:val="71FFE2D4"/>
    <w:rsid w:val="728F8EBF"/>
    <w:rsid w:val="730F5253"/>
    <w:rsid w:val="740F36D3"/>
    <w:rsid w:val="743D4EE4"/>
    <w:rsid w:val="7447B848"/>
    <w:rsid w:val="74C13598"/>
    <w:rsid w:val="74EFBB37"/>
    <w:rsid w:val="74F0C2D0"/>
    <w:rsid w:val="756A22B7"/>
    <w:rsid w:val="76BF2059"/>
    <w:rsid w:val="78CE45F1"/>
    <w:rsid w:val="79CF29AB"/>
    <w:rsid w:val="7AE3DE27"/>
    <w:rsid w:val="7B061349"/>
    <w:rsid w:val="7B12BB38"/>
    <w:rsid w:val="7B237C8C"/>
    <w:rsid w:val="7B6A6DD4"/>
    <w:rsid w:val="7B736A3A"/>
    <w:rsid w:val="7C0DE0DE"/>
    <w:rsid w:val="7C12295C"/>
    <w:rsid w:val="7CF050C2"/>
    <w:rsid w:val="7D3F09DF"/>
    <w:rsid w:val="7D8493A3"/>
    <w:rsid w:val="7E8F85BA"/>
    <w:rsid w:val="7F1EE8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5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E9C"/>
    <w:rPr>
      <w:color w:val="0563C1" w:themeColor="hyperlink"/>
      <w:u w:val="single"/>
    </w:rPr>
  </w:style>
  <w:style w:type="character" w:customStyle="1" w:styleId="UnresolvedMention1">
    <w:name w:val="Unresolved Mention1"/>
    <w:basedOn w:val="DefaultParagraphFont"/>
    <w:uiPriority w:val="99"/>
    <w:semiHidden/>
    <w:unhideWhenUsed/>
    <w:rsid w:val="00461E9C"/>
    <w:rPr>
      <w:color w:val="605E5C"/>
      <w:shd w:val="clear" w:color="auto" w:fill="E1DFDD"/>
    </w:rPr>
  </w:style>
  <w:style w:type="paragraph" w:styleId="ListParagraph">
    <w:name w:val="List Paragraph"/>
    <w:basedOn w:val="Normal"/>
    <w:uiPriority w:val="34"/>
    <w:qFormat/>
    <w:rsid w:val="00977BC3"/>
    <w:pPr>
      <w:ind w:left="720"/>
      <w:contextualSpacing/>
    </w:pPr>
  </w:style>
  <w:style w:type="paragraph" w:styleId="Header">
    <w:name w:val="header"/>
    <w:basedOn w:val="Normal"/>
    <w:link w:val="HeaderChar"/>
    <w:uiPriority w:val="99"/>
    <w:unhideWhenUsed/>
    <w:rsid w:val="00811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04B"/>
  </w:style>
  <w:style w:type="paragraph" w:styleId="Footer">
    <w:name w:val="footer"/>
    <w:basedOn w:val="Normal"/>
    <w:link w:val="FooterChar"/>
    <w:uiPriority w:val="99"/>
    <w:unhideWhenUsed/>
    <w:rsid w:val="00811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04B"/>
  </w:style>
  <w:style w:type="paragraph" w:styleId="FootnoteText">
    <w:name w:val="footnote text"/>
    <w:basedOn w:val="Normal"/>
    <w:link w:val="FootnoteTextChar"/>
    <w:uiPriority w:val="99"/>
    <w:semiHidden/>
    <w:unhideWhenUsed/>
    <w:rsid w:val="0097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8B5"/>
    <w:rPr>
      <w:sz w:val="20"/>
      <w:szCs w:val="20"/>
    </w:rPr>
  </w:style>
  <w:style w:type="character" w:styleId="FootnoteReference">
    <w:name w:val="footnote reference"/>
    <w:basedOn w:val="DefaultParagraphFont"/>
    <w:uiPriority w:val="99"/>
    <w:semiHidden/>
    <w:unhideWhenUsed/>
    <w:rsid w:val="009738B5"/>
    <w:rPr>
      <w:vertAlign w:val="superscript"/>
    </w:rPr>
  </w:style>
  <w:style w:type="character" w:customStyle="1" w:styleId="UnresolvedMention2">
    <w:name w:val="Unresolved Mention2"/>
    <w:basedOn w:val="DefaultParagraphFont"/>
    <w:uiPriority w:val="99"/>
    <w:semiHidden/>
    <w:unhideWhenUsed/>
    <w:rsid w:val="009738B5"/>
    <w:rPr>
      <w:color w:val="605E5C"/>
      <w:shd w:val="clear" w:color="auto" w:fill="E1DFDD"/>
    </w:rPr>
  </w:style>
  <w:style w:type="character" w:styleId="FollowedHyperlink">
    <w:name w:val="FollowedHyperlink"/>
    <w:basedOn w:val="DefaultParagraphFont"/>
    <w:uiPriority w:val="99"/>
    <w:semiHidden/>
    <w:unhideWhenUsed/>
    <w:rsid w:val="0065599E"/>
    <w:rPr>
      <w:color w:val="954F72" w:themeColor="followedHyperlink"/>
      <w:u w:val="single"/>
    </w:rPr>
  </w:style>
  <w:style w:type="paragraph" w:styleId="NormalWeb">
    <w:name w:val="Normal (Web)"/>
    <w:basedOn w:val="Normal"/>
    <w:uiPriority w:val="99"/>
    <w:semiHidden/>
    <w:unhideWhenUsed/>
    <w:rsid w:val="00A2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25AE"/>
    <w:rPr>
      <w:sz w:val="16"/>
      <w:szCs w:val="16"/>
    </w:rPr>
  </w:style>
  <w:style w:type="paragraph" w:styleId="CommentText">
    <w:name w:val="annotation text"/>
    <w:basedOn w:val="Normal"/>
    <w:link w:val="CommentTextChar"/>
    <w:uiPriority w:val="99"/>
    <w:unhideWhenUsed/>
    <w:rsid w:val="001425AE"/>
    <w:pPr>
      <w:spacing w:line="240" w:lineRule="auto"/>
    </w:pPr>
    <w:rPr>
      <w:sz w:val="20"/>
      <w:szCs w:val="20"/>
    </w:rPr>
  </w:style>
  <w:style w:type="character" w:customStyle="1" w:styleId="CommentTextChar">
    <w:name w:val="Comment Text Char"/>
    <w:basedOn w:val="DefaultParagraphFont"/>
    <w:link w:val="CommentText"/>
    <w:uiPriority w:val="99"/>
    <w:rsid w:val="001425AE"/>
    <w:rPr>
      <w:sz w:val="20"/>
      <w:szCs w:val="20"/>
    </w:rPr>
  </w:style>
  <w:style w:type="paragraph" w:styleId="CommentSubject">
    <w:name w:val="annotation subject"/>
    <w:basedOn w:val="CommentText"/>
    <w:next w:val="CommentText"/>
    <w:link w:val="CommentSubjectChar"/>
    <w:uiPriority w:val="99"/>
    <w:semiHidden/>
    <w:unhideWhenUsed/>
    <w:rsid w:val="001425AE"/>
    <w:rPr>
      <w:b/>
      <w:bCs/>
    </w:rPr>
  </w:style>
  <w:style w:type="character" w:customStyle="1" w:styleId="CommentSubjectChar">
    <w:name w:val="Comment Subject Char"/>
    <w:basedOn w:val="CommentTextChar"/>
    <w:link w:val="CommentSubject"/>
    <w:uiPriority w:val="99"/>
    <w:semiHidden/>
    <w:rsid w:val="001425AE"/>
    <w:rPr>
      <w:b/>
      <w:bCs/>
      <w:sz w:val="20"/>
      <w:szCs w:val="20"/>
    </w:rPr>
  </w:style>
  <w:style w:type="paragraph" w:styleId="BalloonText">
    <w:name w:val="Balloon Text"/>
    <w:basedOn w:val="Normal"/>
    <w:link w:val="BalloonTextChar"/>
    <w:uiPriority w:val="99"/>
    <w:semiHidden/>
    <w:unhideWhenUsed/>
    <w:rsid w:val="00142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E"/>
    <w:rPr>
      <w:rFonts w:ascii="Segoe UI" w:hAnsi="Segoe UI" w:cs="Segoe UI"/>
      <w:sz w:val="18"/>
      <w:szCs w:val="18"/>
    </w:rPr>
  </w:style>
  <w:style w:type="paragraph" w:customStyle="1" w:styleId="Default">
    <w:name w:val="Default"/>
    <w:rsid w:val="001C5A45"/>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1C68BD"/>
    <w:pPr>
      <w:spacing w:after="0" w:line="240" w:lineRule="auto"/>
    </w:pPr>
  </w:style>
  <w:style w:type="character" w:styleId="SubtleEmphasis">
    <w:name w:val="Subtle Emphasis"/>
    <w:basedOn w:val="DefaultParagraphFont"/>
    <w:uiPriority w:val="19"/>
    <w:qFormat/>
    <w:rsid w:val="00B23D5C"/>
    <w:rPr>
      <w:i/>
      <w:iCs/>
      <w:color w:val="404040" w:themeColor="text1" w:themeTint="BF"/>
    </w:rPr>
  </w:style>
  <w:style w:type="character" w:styleId="UnresolvedMention">
    <w:name w:val="Unresolved Mention"/>
    <w:basedOn w:val="DefaultParagraphFont"/>
    <w:uiPriority w:val="99"/>
    <w:semiHidden/>
    <w:unhideWhenUsed/>
    <w:rsid w:val="00E72B37"/>
    <w:rPr>
      <w:color w:val="605E5C"/>
      <w:shd w:val="clear" w:color="auto" w:fill="E1DFDD"/>
    </w:rPr>
  </w:style>
  <w:style w:type="numbering" w:customStyle="1" w:styleId="CurrentList1">
    <w:name w:val="Current List1"/>
    <w:uiPriority w:val="99"/>
    <w:rsid w:val="009D20DF"/>
    <w:pPr>
      <w:numPr>
        <w:numId w:val="50"/>
      </w:numPr>
    </w:pPr>
  </w:style>
  <w:style w:type="character" w:styleId="Mention">
    <w:name w:val="Mention"/>
    <w:basedOn w:val="DefaultParagraphFont"/>
    <w:uiPriority w:val="99"/>
    <w:unhideWhenUsed/>
    <w:rsid w:val="004C2F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36">
      <w:bodyDiv w:val="1"/>
      <w:marLeft w:val="0"/>
      <w:marRight w:val="0"/>
      <w:marTop w:val="0"/>
      <w:marBottom w:val="0"/>
      <w:divBdr>
        <w:top w:val="none" w:sz="0" w:space="0" w:color="auto"/>
        <w:left w:val="none" w:sz="0" w:space="0" w:color="auto"/>
        <w:bottom w:val="none" w:sz="0" w:space="0" w:color="auto"/>
        <w:right w:val="none" w:sz="0" w:space="0" w:color="auto"/>
      </w:divBdr>
    </w:div>
    <w:div w:id="27218591">
      <w:bodyDiv w:val="1"/>
      <w:marLeft w:val="0"/>
      <w:marRight w:val="0"/>
      <w:marTop w:val="0"/>
      <w:marBottom w:val="0"/>
      <w:divBdr>
        <w:top w:val="none" w:sz="0" w:space="0" w:color="auto"/>
        <w:left w:val="none" w:sz="0" w:space="0" w:color="auto"/>
        <w:bottom w:val="none" w:sz="0" w:space="0" w:color="auto"/>
        <w:right w:val="none" w:sz="0" w:space="0" w:color="auto"/>
      </w:divBdr>
    </w:div>
    <w:div w:id="30039234">
      <w:bodyDiv w:val="1"/>
      <w:marLeft w:val="0"/>
      <w:marRight w:val="0"/>
      <w:marTop w:val="0"/>
      <w:marBottom w:val="0"/>
      <w:divBdr>
        <w:top w:val="none" w:sz="0" w:space="0" w:color="auto"/>
        <w:left w:val="none" w:sz="0" w:space="0" w:color="auto"/>
        <w:bottom w:val="none" w:sz="0" w:space="0" w:color="auto"/>
        <w:right w:val="none" w:sz="0" w:space="0" w:color="auto"/>
      </w:divBdr>
    </w:div>
    <w:div w:id="30690053">
      <w:bodyDiv w:val="1"/>
      <w:marLeft w:val="0"/>
      <w:marRight w:val="0"/>
      <w:marTop w:val="0"/>
      <w:marBottom w:val="0"/>
      <w:divBdr>
        <w:top w:val="none" w:sz="0" w:space="0" w:color="auto"/>
        <w:left w:val="none" w:sz="0" w:space="0" w:color="auto"/>
        <w:bottom w:val="none" w:sz="0" w:space="0" w:color="auto"/>
        <w:right w:val="none" w:sz="0" w:space="0" w:color="auto"/>
      </w:divBdr>
    </w:div>
    <w:div w:id="36702342">
      <w:bodyDiv w:val="1"/>
      <w:marLeft w:val="0"/>
      <w:marRight w:val="0"/>
      <w:marTop w:val="0"/>
      <w:marBottom w:val="0"/>
      <w:divBdr>
        <w:top w:val="none" w:sz="0" w:space="0" w:color="auto"/>
        <w:left w:val="none" w:sz="0" w:space="0" w:color="auto"/>
        <w:bottom w:val="none" w:sz="0" w:space="0" w:color="auto"/>
        <w:right w:val="none" w:sz="0" w:space="0" w:color="auto"/>
      </w:divBdr>
    </w:div>
    <w:div w:id="38556346">
      <w:bodyDiv w:val="1"/>
      <w:marLeft w:val="0"/>
      <w:marRight w:val="0"/>
      <w:marTop w:val="0"/>
      <w:marBottom w:val="0"/>
      <w:divBdr>
        <w:top w:val="none" w:sz="0" w:space="0" w:color="auto"/>
        <w:left w:val="none" w:sz="0" w:space="0" w:color="auto"/>
        <w:bottom w:val="none" w:sz="0" w:space="0" w:color="auto"/>
        <w:right w:val="none" w:sz="0" w:space="0" w:color="auto"/>
      </w:divBdr>
    </w:div>
    <w:div w:id="46993985">
      <w:bodyDiv w:val="1"/>
      <w:marLeft w:val="0"/>
      <w:marRight w:val="0"/>
      <w:marTop w:val="0"/>
      <w:marBottom w:val="0"/>
      <w:divBdr>
        <w:top w:val="none" w:sz="0" w:space="0" w:color="auto"/>
        <w:left w:val="none" w:sz="0" w:space="0" w:color="auto"/>
        <w:bottom w:val="none" w:sz="0" w:space="0" w:color="auto"/>
        <w:right w:val="none" w:sz="0" w:space="0" w:color="auto"/>
      </w:divBdr>
    </w:div>
    <w:div w:id="62531992">
      <w:bodyDiv w:val="1"/>
      <w:marLeft w:val="0"/>
      <w:marRight w:val="0"/>
      <w:marTop w:val="0"/>
      <w:marBottom w:val="0"/>
      <w:divBdr>
        <w:top w:val="none" w:sz="0" w:space="0" w:color="auto"/>
        <w:left w:val="none" w:sz="0" w:space="0" w:color="auto"/>
        <w:bottom w:val="none" w:sz="0" w:space="0" w:color="auto"/>
        <w:right w:val="none" w:sz="0" w:space="0" w:color="auto"/>
      </w:divBdr>
      <w:divsChild>
        <w:div w:id="39256598">
          <w:marLeft w:val="0"/>
          <w:marRight w:val="0"/>
          <w:marTop w:val="0"/>
          <w:marBottom w:val="0"/>
          <w:divBdr>
            <w:top w:val="none" w:sz="0" w:space="0" w:color="auto"/>
            <w:left w:val="none" w:sz="0" w:space="0" w:color="auto"/>
            <w:bottom w:val="none" w:sz="0" w:space="0" w:color="auto"/>
            <w:right w:val="none" w:sz="0" w:space="0" w:color="auto"/>
          </w:divBdr>
        </w:div>
        <w:div w:id="127237693">
          <w:marLeft w:val="0"/>
          <w:marRight w:val="0"/>
          <w:marTop w:val="0"/>
          <w:marBottom w:val="0"/>
          <w:divBdr>
            <w:top w:val="none" w:sz="0" w:space="0" w:color="auto"/>
            <w:left w:val="none" w:sz="0" w:space="0" w:color="auto"/>
            <w:bottom w:val="none" w:sz="0" w:space="0" w:color="auto"/>
            <w:right w:val="none" w:sz="0" w:space="0" w:color="auto"/>
          </w:divBdr>
        </w:div>
        <w:div w:id="234125412">
          <w:marLeft w:val="0"/>
          <w:marRight w:val="0"/>
          <w:marTop w:val="0"/>
          <w:marBottom w:val="0"/>
          <w:divBdr>
            <w:top w:val="none" w:sz="0" w:space="0" w:color="auto"/>
            <w:left w:val="none" w:sz="0" w:space="0" w:color="auto"/>
            <w:bottom w:val="none" w:sz="0" w:space="0" w:color="auto"/>
            <w:right w:val="none" w:sz="0" w:space="0" w:color="auto"/>
          </w:divBdr>
        </w:div>
        <w:div w:id="303237418">
          <w:marLeft w:val="0"/>
          <w:marRight w:val="0"/>
          <w:marTop w:val="0"/>
          <w:marBottom w:val="0"/>
          <w:divBdr>
            <w:top w:val="none" w:sz="0" w:space="0" w:color="auto"/>
            <w:left w:val="none" w:sz="0" w:space="0" w:color="auto"/>
            <w:bottom w:val="none" w:sz="0" w:space="0" w:color="auto"/>
            <w:right w:val="none" w:sz="0" w:space="0" w:color="auto"/>
          </w:divBdr>
        </w:div>
        <w:div w:id="309403104">
          <w:marLeft w:val="0"/>
          <w:marRight w:val="0"/>
          <w:marTop w:val="0"/>
          <w:marBottom w:val="0"/>
          <w:divBdr>
            <w:top w:val="none" w:sz="0" w:space="0" w:color="auto"/>
            <w:left w:val="none" w:sz="0" w:space="0" w:color="auto"/>
            <w:bottom w:val="none" w:sz="0" w:space="0" w:color="auto"/>
            <w:right w:val="none" w:sz="0" w:space="0" w:color="auto"/>
          </w:divBdr>
        </w:div>
        <w:div w:id="324743359">
          <w:marLeft w:val="0"/>
          <w:marRight w:val="0"/>
          <w:marTop w:val="0"/>
          <w:marBottom w:val="0"/>
          <w:divBdr>
            <w:top w:val="none" w:sz="0" w:space="0" w:color="auto"/>
            <w:left w:val="none" w:sz="0" w:space="0" w:color="auto"/>
            <w:bottom w:val="none" w:sz="0" w:space="0" w:color="auto"/>
            <w:right w:val="none" w:sz="0" w:space="0" w:color="auto"/>
          </w:divBdr>
        </w:div>
        <w:div w:id="420024608">
          <w:marLeft w:val="0"/>
          <w:marRight w:val="0"/>
          <w:marTop w:val="0"/>
          <w:marBottom w:val="0"/>
          <w:divBdr>
            <w:top w:val="none" w:sz="0" w:space="0" w:color="auto"/>
            <w:left w:val="none" w:sz="0" w:space="0" w:color="auto"/>
            <w:bottom w:val="none" w:sz="0" w:space="0" w:color="auto"/>
            <w:right w:val="none" w:sz="0" w:space="0" w:color="auto"/>
          </w:divBdr>
        </w:div>
        <w:div w:id="427894489">
          <w:marLeft w:val="0"/>
          <w:marRight w:val="0"/>
          <w:marTop w:val="0"/>
          <w:marBottom w:val="0"/>
          <w:divBdr>
            <w:top w:val="none" w:sz="0" w:space="0" w:color="auto"/>
            <w:left w:val="none" w:sz="0" w:space="0" w:color="auto"/>
            <w:bottom w:val="none" w:sz="0" w:space="0" w:color="auto"/>
            <w:right w:val="none" w:sz="0" w:space="0" w:color="auto"/>
          </w:divBdr>
        </w:div>
        <w:div w:id="466971442">
          <w:marLeft w:val="0"/>
          <w:marRight w:val="0"/>
          <w:marTop w:val="0"/>
          <w:marBottom w:val="0"/>
          <w:divBdr>
            <w:top w:val="none" w:sz="0" w:space="0" w:color="auto"/>
            <w:left w:val="none" w:sz="0" w:space="0" w:color="auto"/>
            <w:bottom w:val="none" w:sz="0" w:space="0" w:color="auto"/>
            <w:right w:val="none" w:sz="0" w:space="0" w:color="auto"/>
          </w:divBdr>
        </w:div>
        <w:div w:id="481503567">
          <w:marLeft w:val="0"/>
          <w:marRight w:val="0"/>
          <w:marTop w:val="0"/>
          <w:marBottom w:val="0"/>
          <w:divBdr>
            <w:top w:val="none" w:sz="0" w:space="0" w:color="auto"/>
            <w:left w:val="none" w:sz="0" w:space="0" w:color="auto"/>
            <w:bottom w:val="none" w:sz="0" w:space="0" w:color="auto"/>
            <w:right w:val="none" w:sz="0" w:space="0" w:color="auto"/>
          </w:divBdr>
        </w:div>
        <w:div w:id="607086931">
          <w:marLeft w:val="0"/>
          <w:marRight w:val="0"/>
          <w:marTop w:val="0"/>
          <w:marBottom w:val="0"/>
          <w:divBdr>
            <w:top w:val="none" w:sz="0" w:space="0" w:color="auto"/>
            <w:left w:val="none" w:sz="0" w:space="0" w:color="auto"/>
            <w:bottom w:val="none" w:sz="0" w:space="0" w:color="auto"/>
            <w:right w:val="none" w:sz="0" w:space="0" w:color="auto"/>
          </w:divBdr>
        </w:div>
        <w:div w:id="626591458">
          <w:marLeft w:val="0"/>
          <w:marRight w:val="0"/>
          <w:marTop w:val="0"/>
          <w:marBottom w:val="0"/>
          <w:divBdr>
            <w:top w:val="none" w:sz="0" w:space="0" w:color="auto"/>
            <w:left w:val="none" w:sz="0" w:space="0" w:color="auto"/>
            <w:bottom w:val="none" w:sz="0" w:space="0" w:color="auto"/>
            <w:right w:val="none" w:sz="0" w:space="0" w:color="auto"/>
          </w:divBdr>
        </w:div>
        <w:div w:id="775948693">
          <w:marLeft w:val="0"/>
          <w:marRight w:val="0"/>
          <w:marTop w:val="0"/>
          <w:marBottom w:val="0"/>
          <w:divBdr>
            <w:top w:val="none" w:sz="0" w:space="0" w:color="auto"/>
            <w:left w:val="none" w:sz="0" w:space="0" w:color="auto"/>
            <w:bottom w:val="none" w:sz="0" w:space="0" w:color="auto"/>
            <w:right w:val="none" w:sz="0" w:space="0" w:color="auto"/>
          </w:divBdr>
        </w:div>
        <w:div w:id="791830310">
          <w:marLeft w:val="0"/>
          <w:marRight w:val="0"/>
          <w:marTop w:val="0"/>
          <w:marBottom w:val="0"/>
          <w:divBdr>
            <w:top w:val="none" w:sz="0" w:space="0" w:color="auto"/>
            <w:left w:val="none" w:sz="0" w:space="0" w:color="auto"/>
            <w:bottom w:val="none" w:sz="0" w:space="0" w:color="auto"/>
            <w:right w:val="none" w:sz="0" w:space="0" w:color="auto"/>
          </w:divBdr>
        </w:div>
        <w:div w:id="987974266">
          <w:marLeft w:val="0"/>
          <w:marRight w:val="0"/>
          <w:marTop w:val="0"/>
          <w:marBottom w:val="0"/>
          <w:divBdr>
            <w:top w:val="none" w:sz="0" w:space="0" w:color="auto"/>
            <w:left w:val="none" w:sz="0" w:space="0" w:color="auto"/>
            <w:bottom w:val="none" w:sz="0" w:space="0" w:color="auto"/>
            <w:right w:val="none" w:sz="0" w:space="0" w:color="auto"/>
          </w:divBdr>
        </w:div>
        <w:div w:id="1107968095">
          <w:marLeft w:val="0"/>
          <w:marRight w:val="0"/>
          <w:marTop w:val="0"/>
          <w:marBottom w:val="0"/>
          <w:divBdr>
            <w:top w:val="none" w:sz="0" w:space="0" w:color="auto"/>
            <w:left w:val="none" w:sz="0" w:space="0" w:color="auto"/>
            <w:bottom w:val="none" w:sz="0" w:space="0" w:color="auto"/>
            <w:right w:val="none" w:sz="0" w:space="0" w:color="auto"/>
          </w:divBdr>
        </w:div>
        <w:div w:id="1217008175">
          <w:marLeft w:val="0"/>
          <w:marRight w:val="0"/>
          <w:marTop w:val="0"/>
          <w:marBottom w:val="0"/>
          <w:divBdr>
            <w:top w:val="none" w:sz="0" w:space="0" w:color="auto"/>
            <w:left w:val="none" w:sz="0" w:space="0" w:color="auto"/>
            <w:bottom w:val="none" w:sz="0" w:space="0" w:color="auto"/>
            <w:right w:val="none" w:sz="0" w:space="0" w:color="auto"/>
          </w:divBdr>
        </w:div>
        <w:div w:id="1237518664">
          <w:marLeft w:val="0"/>
          <w:marRight w:val="0"/>
          <w:marTop w:val="0"/>
          <w:marBottom w:val="0"/>
          <w:divBdr>
            <w:top w:val="none" w:sz="0" w:space="0" w:color="auto"/>
            <w:left w:val="none" w:sz="0" w:space="0" w:color="auto"/>
            <w:bottom w:val="none" w:sz="0" w:space="0" w:color="auto"/>
            <w:right w:val="none" w:sz="0" w:space="0" w:color="auto"/>
          </w:divBdr>
        </w:div>
        <w:div w:id="1293902945">
          <w:marLeft w:val="0"/>
          <w:marRight w:val="0"/>
          <w:marTop w:val="0"/>
          <w:marBottom w:val="0"/>
          <w:divBdr>
            <w:top w:val="none" w:sz="0" w:space="0" w:color="auto"/>
            <w:left w:val="none" w:sz="0" w:space="0" w:color="auto"/>
            <w:bottom w:val="none" w:sz="0" w:space="0" w:color="auto"/>
            <w:right w:val="none" w:sz="0" w:space="0" w:color="auto"/>
          </w:divBdr>
        </w:div>
        <w:div w:id="1522358545">
          <w:marLeft w:val="0"/>
          <w:marRight w:val="0"/>
          <w:marTop w:val="0"/>
          <w:marBottom w:val="0"/>
          <w:divBdr>
            <w:top w:val="none" w:sz="0" w:space="0" w:color="auto"/>
            <w:left w:val="none" w:sz="0" w:space="0" w:color="auto"/>
            <w:bottom w:val="none" w:sz="0" w:space="0" w:color="auto"/>
            <w:right w:val="none" w:sz="0" w:space="0" w:color="auto"/>
          </w:divBdr>
        </w:div>
        <w:div w:id="1628582187">
          <w:marLeft w:val="0"/>
          <w:marRight w:val="0"/>
          <w:marTop w:val="0"/>
          <w:marBottom w:val="0"/>
          <w:divBdr>
            <w:top w:val="none" w:sz="0" w:space="0" w:color="auto"/>
            <w:left w:val="none" w:sz="0" w:space="0" w:color="auto"/>
            <w:bottom w:val="none" w:sz="0" w:space="0" w:color="auto"/>
            <w:right w:val="none" w:sz="0" w:space="0" w:color="auto"/>
          </w:divBdr>
        </w:div>
        <w:div w:id="1940527715">
          <w:marLeft w:val="0"/>
          <w:marRight w:val="0"/>
          <w:marTop w:val="0"/>
          <w:marBottom w:val="0"/>
          <w:divBdr>
            <w:top w:val="none" w:sz="0" w:space="0" w:color="auto"/>
            <w:left w:val="none" w:sz="0" w:space="0" w:color="auto"/>
            <w:bottom w:val="none" w:sz="0" w:space="0" w:color="auto"/>
            <w:right w:val="none" w:sz="0" w:space="0" w:color="auto"/>
          </w:divBdr>
        </w:div>
        <w:div w:id="2051758885">
          <w:marLeft w:val="0"/>
          <w:marRight w:val="0"/>
          <w:marTop w:val="0"/>
          <w:marBottom w:val="0"/>
          <w:divBdr>
            <w:top w:val="none" w:sz="0" w:space="0" w:color="auto"/>
            <w:left w:val="none" w:sz="0" w:space="0" w:color="auto"/>
            <w:bottom w:val="none" w:sz="0" w:space="0" w:color="auto"/>
            <w:right w:val="none" w:sz="0" w:space="0" w:color="auto"/>
          </w:divBdr>
        </w:div>
      </w:divsChild>
    </w:div>
    <w:div w:id="87772221">
      <w:bodyDiv w:val="1"/>
      <w:marLeft w:val="0"/>
      <w:marRight w:val="0"/>
      <w:marTop w:val="0"/>
      <w:marBottom w:val="0"/>
      <w:divBdr>
        <w:top w:val="none" w:sz="0" w:space="0" w:color="auto"/>
        <w:left w:val="none" w:sz="0" w:space="0" w:color="auto"/>
        <w:bottom w:val="none" w:sz="0" w:space="0" w:color="auto"/>
        <w:right w:val="none" w:sz="0" w:space="0" w:color="auto"/>
      </w:divBdr>
    </w:div>
    <w:div w:id="93600762">
      <w:bodyDiv w:val="1"/>
      <w:marLeft w:val="0"/>
      <w:marRight w:val="0"/>
      <w:marTop w:val="0"/>
      <w:marBottom w:val="0"/>
      <w:divBdr>
        <w:top w:val="none" w:sz="0" w:space="0" w:color="auto"/>
        <w:left w:val="none" w:sz="0" w:space="0" w:color="auto"/>
        <w:bottom w:val="none" w:sz="0" w:space="0" w:color="auto"/>
        <w:right w:val="none" w:sz="0" w:space="0" w:color="auto"/>
      </w:divBdr>
    </w:div>
    <w:div w:id="112097744">
      <w:bodyDiv w:val="1"/>
      <w:marLeft w:val="0"/>
      <w:marRight w:val="0"/>
      <w:marTop w:val="0"/>
      <w:marBottom w:val="0"/>
      <w:divBdr>
        <w:top w:val="none" w:sz="0" w:space="0" w:color="auto"/>
        <w:left w:val="none" w:sz="0" w:space="0" w:color="auto"/>
        <w:bottom w:val="none" w:sz="0" w:space="0" w:color="auto"/>
        <w:right w:val="none" w:sz="0" w:space="0" w:color="auto"/>
      </w:divBdr>
    </w:div>
    <w:div w:id="121962537">
      <w:bodyDiv w:val="1"/>
      <w:marLeft w:val="0"/>
      <w:marRight w:val="0"/>
      <w:marTop w:val="0"/>
      <w:marBottom w:val="0"/>
      <w:divBdr>
        <w:top w:val="none" w:sz="0" w:space="0" w:color="auto"/>
        <w:left w:val="none" w:sz="0" w:space="0" w:color="auto"/>
        <w:bottom w:val="none" w:sz="0" w:space="0" w:color="auto"/>
        <w:right w:val="none" w:sz="0" w:space="0" w:color="auto"/>
      </w:divBdr>
    </w:div>
    <w:div w:id="137381867">
      <w:bodyDiv w:val="1"/>
      <w:marLeft w:val="0"/>
      <w:marRight w:val="0"/>
      <w:marTop w:val="0"/>
      <w:marBottom w:val="0"/>
      <w:divBdr>
        <w:top w:val="none" w:sz="0" w:space="0" w:color="auto"/>
        <w:left w:val="none" w:sz="0" w:space="0" w:color="auto"/>
        <w:bottom w:val="none" w:sz="0" w:space="0" w:color="auto"/>
        <w:right w:val="none" w:sz="0" w:space="0" w:color="auto"/>
      </w:divBdr>
    </w:div>
    <w:div w:id="14096863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59274551">
      <w:bodyDiv w:val="1"/>
      <w:marLeft w:val="0"/>
      <w:marRight w:val="0"/>
      <w:marTop w:val="0"/>
      <w:marBottom w:val="0"/>
      <w:divBdr>
        <w:top w:val="none" w:sz="0" w:space="0" w:color="auto"/>
        <w:left w:val="none" w:sz="0" w:space="0" w:color="auto"/>
        <w:bottom w:val="none" w:sz="0" w:space="0" w:color="auto"/>
        <w:right w:val="none" w:sz="0" w:space="0" w:color="auto"/>
      </w:divBdr>
    </w:div>
    <w:div w:id="159735573">
      <w:bodyDiv w:val="1"/>
      <w:marLeft w:val="0"/>
      <w:marRight w:val="0"/>
      <w:marTop w:val="0"/>
      <w:marBottom w:val="0"/>
      <w:divBdr>
        <w:top w:val="none" w:sz="0" w:space="0" w:color="auto"/>
        <w:left w:val="none" w:sz="0" w:space="0" w:color="auto"/>
        <w:bottom w:val="none" w:sz="0" w:space="0" w:color="auto"/>
        <w:right w:val="none" w:sz="0" w:space="0" w:color="auto"/>
      </w:divBdr>
    </w:div>
    <w:div w:id="171409190">
      <w:bodyDiv w:val="1"/>
      <w:marLeft w:val="0"/>
      <w:marRight w:val="0"/>
      <w:marTop w:val="0"/>
      <w:marBottom w:val="0"/>
      <w:divBdr>
        <w:top w:val="none" w:sz="0" w:space="0" w:color="auto"/>
        <w:left w:val="none" w:sz="0" w:space="0" w:color="auto"/>
        <w:bottom w:val="none" w:sz="0" w:space="0" w:color="auto"/>
        <w:right w:val="none" w:sz="0" w:space="0" w:color="auto"/>
      </w:divBdr>
    </w:div>
    <w:div w:id="185295950">
      <w:bodyDiv w:val="1"/>
      <w:marLeft w:val="0"/>
      <w:marRight w:val="0"/>
      <w:marTop w:val="0"/>
      <w:marBottom w:val="0"/>
      <w:divBdr>
        <w:top w:val="none" w:sz="0" w:space="0" w:color="auto"/>
        <w:left w:val="none" w:sz="0" w:space="0" w:color="auto"/>
        <w:bottom w:val="none" w:sz="0" w:space="0" w:color="auto"/>
        <w:right w:val="none" w:sz="0" w:space="0" w:color="auto"/>
      </w:divBdr>
    </w:div>
    <w:div w:id="211431338">
      <w:bodyDiv w:val="1"/>
      <w:marLeft w:val="0"/>
      <w:marRight w:val="0"/>
      <w:marTop w:val="0"/>
      <w:marBottom w:val="0"/>
      <w:divBdr>
        <w:top w:val="none" w:sz="0" w:space="0" w:color="auto"/>
        <w:left w:val="none" w:sz="0" w:space="0" w:color="auto"/>
        <w:bottom w:val="none" w:sz="0" w:space="0" w:color="auto"/>
        <w:right w:val="none" w:sz="0" w:space="0" w:color="auto"/>
      </w:divBdr>
      <w:divsChild>
        <w:div w:id="99646662">
          <w:marLeft w:val="0"/>
          <w:marRight w:val="0"/>
          <w:marTop w:val="0"/>
          <w:marBottom w:val="0"/>
          <w:divBdr>
            <w:top w:val="none" w:sz="0" w:space="0" w:color="auto"/>
            <w:left w:val="none" w:sz="0" w:space="0" w:color="auto"/>
            <w:bottom w:val="none" w:sz="0" w:space="0" w:color="auto"/>
            <w:right w:val="none" w:sz="0" w:space="0" w:color="auto"/>
          </w:divBdr>
        </w:div>
        <w:div w:id="205459714">
          <w:marLeft w:val="0"/>
          <w:marRight w:val="0"/>
          <w:marTop w:val="0"/>
          <w:marBottom w:val="0"/>
          <w:divBdr>
            <w:top w:val="none" w:sz="0" w:space="0" w:color="auto"/>
            <w:left w:val="none" w:sz="0" w:space="0" w:color="auto"/>
            <w:bottom w:val="none" w:sz="0" w:space="0" w:color="auto"/>
            <w:right w:val="none" w:sz="0" w:space="0" w:color="auto"/>
          </w:divBdr>
        </w:div>
        <w:div w:id="721096158">
          <w:marLeft w:val="0"/>
          <w:marRight w:val="0"/>
          <w:marTop w:val="0"/>
          <w:marBottom w:val="0"/>
          <w:divBdr>
            <w:top w:val="none" w:sz="0" w:space="0" w:color="auto"/>
            <w:left w:val="none" w:sz="0" w:space="0" w:color="auto"/>
            <w:bottom w:val="none" w:sz="0" w:space="0" w:color="auto"/>
            <w:right w:val="none" w:sz="0" w:space="0" w:color="auto"/>
          </w:divBdr>
        </w:div>
        <w:div w:id="901210553">
          <w:marLeft w:val="0"/>
          <w:marRight w:val="0"/>
          <w:marTop w:val="0"/>
          <w:marBottom w:val="0"/>
          <w:divBdr>
            <w:top w:val="none" w:sz="0" w:space="0" w:color="auto"/>
            <w:left w:val="none" w:sz="0" w:space="0" w:color="auto"/>
            <w:bottom w:val="none" w:sz="0" w:space="0" w:color="auto"/>
            <w:right w:val="none" w:sz="0" w:space="0" w:color="auto"/>
          </w:divBdr>
        </w:div>
        <w:div w:id="1418138702">
          <w:marLeft w:val="0"/>
          <w:marRight w:val="0"/>
          <w:marTop w:val="0"/>
          <w:marBottom w:val="0"/>
          <w:divBdr>
            <w:top w:val="none" w:sz="0" w:space="0" w:color="auto"/>
            <w:left w:val="none" w:sz="0" w:space="0" w:color="auto"/>
            <w:bottom w:val="none" w:sz="0" w:space="0" w:color="auto"/>
            <w:right w:val="none" w:sz="0" w:space="0" w:color="auto"/>
          </w:divBdr>
        </w:div>
        <w:div w:id="1807383766">
          <w:marLeft w:val="0"/>
          <w:marRight w:val="0"/>
          <w:marTop w:val="0"/>
          <w:marBottom w:val="0"/>
          <w:divBdr>
            <w:top w:val="none" w:sz="0" w:space="0" w:color="auto"/>
            <w:left w:val="none" w:sz="0" w:space="0" w:color="auto"/>
            <w:bottom w:val="none" w:sz="0" w:space="0" w:color="auto"/>
            <w:right w:val="none" w:sz="0" w:space="0" w:color="auto"/>
          </w:divBdr>
        </w:div>
        <w:div w:id="1935244408">
          <w:marLeft w:val="0"/>
          <w:marRight w:val="0"/>
          <w:marTop w:val="0"/>
          <w:marBottom w:val="0"/>
          <w:divBdr>
            <w:top w:val="none" w:sz="0" w:space="0" w:color="auto"/>
            <w:left w:val="none" w:sz="0" w:space="0" w:color="auto"/>
            <w:bottom w:val="none" w:sz="0" w:space="0" w:color="auto"/>
            <w:right w:val="none" w:sz="0" w:space="0" w:color="auto"/>
          </w:divBdr>
        </w:div>
      </w:divsChild>
    </w:div>
    <w:div w:id="227886704">
      <w:bodyDiv w:val="1"/>
      <w:marLeft w:val="0"/>
      <w:marRight w:val="0"/>
      <w:marTop w:val="0"/>
      <w:marBottom w:val="0"/>
      <w:divBdr>
        <w:top w:val="none" w:sz="0" w:space="0" w:color="auto"/>
        <w:left w:val="none" w:sz="0" w:space="0" w:color="auto"/>
        <w:bottom w:val="none" w:sz="0" w:space="0" w:color="auto"/>
        <w:right w:val="none" w:sz="0" w:space="0" w:color="auto"/>
      </w:divBdr>
    </w:div>
    <w:div w:id="232738458">
      <w:bodyDiv w:val="1"/>
      <w:marLeft w:val="0"/>
      <w:marRight w:val="0"/>
      <w:marTop w:val="0"/>
      <w:marBottom w:val="0"/>
      <w:divBdr>
        <w:top w:val="none" w:sz="0" w:space="0" w:color="auto"/>
        <w:left w:val="none" w:sz="0" w:space="0" w:color="auto"/>
        <w:bottom w:val="none" w:sz="0" w:space="0" w:color="auto"/>
        <w:right w:val="none" w:sz="0" w:space="0" w:color="auto"/>
      </w:divBdr>
    </w:div>
    <w:div w:id="235940229">
      <w:bodyDiv w:val="1"/>
      <w:marLeft w:val="0"/>
      <w:marRight w:val="0"/>
      <w:marTop w:val="0"/>
      <w:marBottom w:val="0"/>
      <w:divBdr>
        <w:top w:val="none" w:sz="0" w:space="0" w:color="auto"/>
        <w:left w:val="none" w:sz="0" w:space="0" w:color="auto"/>
        <w:bottom w:val="none" w:sz="0" w:space="0" w:color="auto"/>
        <w:right w:val="none" w:sz="0" w:space="0" w:color="auto"/>
      </w:divBdr>
    </w:div>
    <w:div w:id="261764847">
      <w:bodyDiv w:val="1"/>
      <w:marLeft w:val="0"/>
      <w:marRight w:val="0"/>
      <w:marTop w:val="0"/>
      <w:marBottom w:val="0"/>
      <w:divBdr>
        <w:top w:val="none" w:sz="0" w:space="0" w:color="auto"/>
        <w:left w:val="none" w:sz="0" w:space="0" w:color="auto"/>
        <w:bottom w:val="none" w:sz="0" w:space="0" w:color="auto"/>
        <w:right w:val="none" w:sz="0" w:space="0" w:color="auto"/>
      </w:divBdr>
    </w:div>
    <w:div w:id="268122267">
      <w:bodyDiv w:val="1"/>
      <w:marLeft w:val="0"/>
      <w:marRight w:val="0"/>
      <w:marTop w:val="0"/>
      <w:marBottom w:val="0"/>
      <w:divBdr>
        <w:top w:val="none" w:sz="0" w:space="0" w:color="auto"/>
        <w:left w:val="none" w:sz="0" w:space="0" w:color="auto"/>
        <w:bottom w:val="none" w:sz="0" w:space="0" w:color="auto"/>
        <w:right w:val="none" w:sz="0" w:space="0" w:color="auto"/>
      </w:divBdr>
    </w:div>
    <w:div w:id="275061040">
      <w:bodyDiv w:val="1"/>
      <w:marLeft w:val="0"/>
      <w:marRight w:val="0"/>
      <w:marTop w:val="0"/>
      <w:marBottom w:val="0"/>
      <w:divBdr>
        <w:top w:val="none" w:sz="0" w:space="0" w:color="auto"/>
        <w:left w:val="none" w:sz="0" w:space="0" w:color="auto"/>
        <w:bottom w:val="none" w:sz="0" w:space="0" w:color="auto"/>
        <w:right w:val="none" w:sz="0" w:space="0" w:color="auto"/>
      </w:divBdr>
    </w:div>
    <w:div w:id="299968488">
      <w:bodyDiv w:val="1"/>
      <w:marLeft w:val="0"/>
      <w:marRight w:val="0"/>
      <w:marTop w:val="0"/>
      <w:marBottom w:val="0"/>
      <w:divBdr>
        <w:top w:val="none" w:sz="0" w:space="0" w:color="auto"/>
        <w:left w:val="none" w:sz="0" w:space="0" w:color="auto"/>
        <w:bottom w:val="none" w:sz="0" w:space="0" w:color="auto"/>
        <w:right w:val="none" w:sz="0" w:space="0" w:color="auto"/>
      </w:divBdr>
    </w:div>
    <w:div w:id="315571451">
      <w:bodyDiv w:val="1"/>
      <w:marLeft w:val="0"/>
      <w:marRight w:val="0"/>
      <w:marTop w:val="0"/>
      <w:marBottom w:val="0"/>
      <w:divBdr>
        <w:top w:val="none" w:sz="0" w:space="0" w:color="auto"/>
        <w:left w:val="none" w:sz="0" w:space="0" w:color="auto"/>
        <w:bottom w:val="none" w:sz="0" w:space="0" w:color="auto"/>
        <w:right w:val="none" w:sz="0" w:space="0" w:color="auto"/>
      </w:divBdr>
    </w:div>
    <w:div w:id="361636703">
      <w:bodyDiv w:val="1"/>
      <w:marLeft w:val="0"/>
      <w:marRight w:val="0"/>
      <w:marTop w:val="0"/>
      <w:marBottom w:val="0"/>
      <w:divBdr>
        <w:top w:val="none" w:sz="0" w:space="0" w:color="auto"/>
        <w:left w:val="none" w:sz="0" w:space="0" w:color="auto"/>
        <w:bottom w:val="none" w:sz="0" w:space="0" w:color="auto"/>
        <w:right w:val="none" w:sz="0" w:space="0" w:color="auto"/>
      </w:divBdr>
    </w:div>
    <w:div w:id="370033777">
      <w:bodyDiv w:val="1"/>
      <w:marLeft w:val="0"/>
      <w:marRight w:val="0"/>
      <w:marTop w:val="0"/>
      <w:marBottom w:val="0"/>
      <w:divBdr>
        <w:top w:val="none" w:sz="0" w:space="0" w:color="auto"/>
        <w:left w:val="none" w:sz="0" w:space="0" w:color="auto"/>
        <w:bottom w:val="none" w:sz="0" w:space="0" w:color="auto"/>
        <w:right w:val="none" w:sz="0" w:space="0" w:color="auto"/>
      </w:divBdr>
    </w:div>
    <w:div w:id="382142630">
      <w:bodyDiv w:val="1"/>
      <w:marLeft w:val="0"/>
      <w:marRight w:val="0"/>
      <w:marTop w:val="0"/>
      <w:marBottom w:val="0"/>
      <w:divBdr>
        <w:top w:val="none" w:sz="0" w:space="0" w:color="auto"/>
        <w:left w:val="none" w:sz="0" w:space="0" w:color="auto"/>
        <w:bottom w:val="none" w:sz="0" w:space="0" w:color="auto"/>
        <w:right w:val="none" w:sz="0" w:space="0" w:color="auto"/>
      </w:divBdr>
    </w:div>
    <w:div w:id="385642844">
      <w:bodyDiv w:val="1"/>
      <w:marLeft w:val="0"/>
      <w:marRight w:val="0"/>
      <w:marTop w:val="0"/>
      <w:marBottom w:val="0"/>
      <w:divBdr>
        <w:top w:val="none" w:sz="0" w:space="0" w:color="auto"/>
        <w:left w:val="none" w:sz="0" w:space="0" w:color="auto"/>
        <w:bottom w:val="none" w:sz="0" w:space="0" w:color="auto"/>
        <w:right w:val="none" w:sz="0" w:space="0" w:color="auto"/>
      </w:divBdr>
    </w:div>
    <w:div w:id="399326753">
      <w:bodyDiv w:val="1"/>
      <w:marLeft w:val="0"/>
      <w:marRight w:val="0"/>
      <w:marTop w:val="0"/>
      <w:marBottom w:val="0"/>
      <w:divBdr>
        <w:top w:val="none" w:sz="0" w:space="0" w:color="auto"/>
        <w:left w:val="none" w:sz="0" w:space="0" w:color="auto"/>
        <w:bottom w:val="none" w:sz="0" w:space="0" w:color="auto"/>
        <w:right w:val="none" w:sz="0" w:space="0" w:color="auto"/>
      </w:divBdr>
    </w:div>
    <w:div w:id="401608701">
      <w:bodyDiv w:val="1"/>
      <w:marLeft w:val="0"/>
      <w:marRight w:val="0"/>
      <w:marTop w:val="0"/>
      <w:marBottom w:val="0"/>
      <w:divBdr>
        <w:top w:val="none" w:sz="0" w:space="0" w:color="auto"/>
        <w:left w:val="none" w:sz="0" w:space="0" w:color="auto"/>
        <w:bottom w:val="none" w:sz="0" w:space="0" w:color="auto"/>
        <w:right w:val="none" w:sz="0" w:space="0" w:color="auto"/>
      </w:divBdr>
    </w:div>
    <w:div w:id="407045431">
      <w:bodyDiv w:val="1"/>
      <w:marLeft w:val="0"/>
      <w:marRight w:val="0"/>
      <w:marTop w:val="0"/>
      <w:marBottom w:val="0"/>
      <w:divBdr>
        <w:top w:val="none" w:sz="0" w:space="0" w:color="auto"/>
        <w:left w:val="none" w:sz="0" w:space="0" w:color="auto"/>
        <w:bottom w:val="none" w:sz="0" w:space="0" w:color="auto"/>
        <w:right w:val="none" w:sz="0" w:space="0" w:color="auto"/>
      </w:divBdr>
    </w:div>
    <w:div w:id="407389170">
      <w:bodyDiv w:val="1"/>
      <w:marLeft w:val="0"/>
      <w:marRight w:val="0"/>
      <w:marTop w:val="0"/>
      <w:marBottom w:val="0"/>
      <w:divBdr>
        <w:top w:val="none" w:sz="0" w:space="0" w:color="auto"/>
        <w:left w:val="none" w:sz="0" w:space="0" w:color="auto"/>
        <w:bottom w:val="none" w:sz="0" w:space="0" w:color="auto"/>
        <w:right w:val="none" w:sz="0" w:space="0" w:color="auto"/>
      </w:divBdr>
    </w:div>
    <w:div w:id="409273619">
      <w:bodyDiv w:val="1"/>
      <w:marLeft w:val="0"/>
      <w:marRight w:val="0"/>
      <w:marTop w:val="0"/>
      <w:marBottom w:val="0"/>
      <w:divBdr>
        <w:top w:val="none" w:sz="0" w:space="0" w:color="auto"/>
        <w:left w:val="none" w:sz="0" w:space="0" w:color="auto"/>
        <w:bottom w:val="none" w:sz="0" w:space="0" w:color="auto"/>
        <w:right w:val="none" w:sz="0" w:space="0" w:color="auto"/>
      </w:divBdr>
    </w:div>
    <w:div w:id="416706866">
      <w:bodyDiv w:val="1"/>
      <w:marLeft w:val="0"/>
      <w:marRight w:val="0"/>
      <w:marTop w:val="0"/>
      <w:marBottom w:val="0"/>
      <w:divBdr>
        <w:top w:val="none" w:sz="0" w:space="0" w:color="auto"/>
        <w:left w:val="none" w:sz="0" w:space="0" w:color="auto"/>
        <w:bottom w:val="none" w:sz="0" w:space="0" w:color="auto"/>
        <w:right w:val="none" w:sz="0" w:space="0" w:color="auto"/>
      </w:divBdr>
    </w:div>
    <w:div w:id="425539276">
      <w:bodyDiv w:val="1"/>
      <w:marLeft w:val="0"/>
      <w:marRight w:val="0"/>
      <w:marTop w:val="0"/>
      <w:marBottom w:val="0"/>
      <w:divBdr>
        <w:top w:val="none" w:sz="0" w:space="0" w:color="auto"/>
        <w:left w:val="none" w:sz="0" w:space="0" w:color="auto"/>
        <w:bottom w:val="none" w:sz="0" w:space="0" w:color="auto"/>
        <w:right w:val="none" w:sz="0" w:space="0" w:color="auto"/>
      </w:divBdr>
      <w:divsChild>
        <w:div w:id="865676148">
          <w:marLeft w:val="0"/>
          <w:marRight w:val="0"/>
          <w:marTop w:val="15"/>
          <w:marBottom w:val="0"/>
          <w:divBdr>
            <w:top w:val="single" w:sz="48" w:space="0" w:color="auto"/>
            <w:left w:val="single" w:sz="48" w:space="0" w:color="auto"/>
            <w:bottom w:val="single" w:sz="48" w:space="0" w:color="auto"/>
            <w:right w:val="single" w:sz="48" w:space="0" w:color="auto"/>
          </w:divBdr>
          <w:divsChild>
            <w:div w:id="170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132">
      <w:bodyDiv w:val="1"/>
      <w:marLeft w:val="0"/>
      <w:marRight w:val="0"/>
      <w:marTop w:val="0"/>
      <w:marBottom w:val="0"/>
      <w:divBdr>
        <w:top w:val="none" w:sz="0" w:space="0" w:color="auto"/>
        <w:left w:val="none" w:sz="0" w:space="0" w:color="auto"/>
        <w:bottom w:val="none" w:sz="0" w:space="0" w:color="auto"/>
        <w:right w:val="none" w:sz="0" w:space="0" w:color="auto"/>
      </w:divBdr>
    </w:div>
    <w:div w:id="440225594">
      <w:bodyDiv w:val="1"/>
      <w:marLeft w:val="0"/>
      <w:marRight w:val="0"/>
      <w:marTop w:val="0"/>
      <w:marBottom w:val="0"/>
      <w:divBdr>
        <w:top w:val="none" w:sz="0" w:space="0" w:color="auto"/>
        <w:left w:val="none" w:sz="0" w:space="0" w:color="auto"/>
        <w:bottom w:val="none" w:sz="0" w:space="0" w:color="auto"/>
        <w:right w:val="none" w:sz="0" w:space="0" w:color="auto"/>
      </w:divBdr>
    </w:div>
    <w:div w:id="447436187">
      <w:bodyDiv w:val="1"/>
      <w:marLeft w:val="0"/>
      <w:marRight w:val="0"/>
      <w:marTop w:val="0"/>
      <w:marBottom w:val="0"/>
      <w:divBdr>
        <w:top w:val="none" w:sz="0" w:space="0" w:color="auto"/>
        <w:left w:val="none" w:sz="0" w:space="0" w:color="auto"/>
        <w:bottom w:val="none" w:sz="0" w:space="0" w:color="auto"/>
        <w:right w:val="none" w:sz="0" w:space="0" w:color="auto"/>
      </w:divBdr>
    </w:div>
    <w:div w:id="462845270">
      <w:bodyDiv w:val="1"/>
      <w:marLeft w:val="0"/>
      <w:marRight w:val="0"/>
      <w:marTop w:val="0"/>
      <w:marBottom w:val="0"/>
      <w:divBdr>
        <w:top w:val="none" w:sz="0" w:space="0" w:color="auto"/>
        <w:left w:val="none" w:sz="0" w:space="0" w:color="auto"/>
        <w:bottom w:val="none" w:sz="0" w:space="0" w:color="auto"/>
        <w:right w:val="none" w:sz="0" w:space="0" w:color="auto"/>
      </w:divBdr>
    </w:div>
    <w:div w:id="477650254">
      <w:bodyDiv w:val="1"/>
      <w:marLeft w:val="0"/>
      <w:marRight w:val="0"/>
      <w:marTop w:val="0"/>
      <w:marBottom w:val="0"/>
      <w:divBdr>
        <w:top w:val="none" w:sz="0" w:space="0" w:color="auto"/>
        <w:left w:val="none" w:sz="0" w:space="0" w:color="auto"/>
        <w:bottom w:val="none" w:sz="0" w:space="0" w:color="auto"/>
        <w:right w:val="none" w:sz="0" w:space="0" w:color="auto"/>
      </w:divBdr>
    </w:div>
    <w:div w:id="483401500">
      <w:bodyDiv w:val="1"/>
      <w:marLeft w:val="0"/>
      <w:marRight w:val="0"/>
      <w:marTop w:val="0"/>
      <w:marBottom w:val="0"/>
      <w:divBdr>
        <w:top w:val="none" w:sz="0" w:space="0" w:color="auto"/>
        <w:left w:val="none" w:sz="0" w:space="0" w:color="auto"/>
        <w:bottom w:val="none" w:sz="0" w:space="0" w:color="auto"/>
        <w:right w:val="none" w:sz="0" w:space="0" w:color="auto"/>
      </w:divBdr>
    </w:div>
    <w:div w:id="505826510">
      <w:bodyDiv w:val="1"/>
      <w:marLeft w:val="0"/>
      <w:marRight w:val="0"/>
      <w:marTop w:val="0"/>
      <w:marBottom w:val="0"/>
      <w:divBdr>
        <w:top w:val="none" w:sz="0" w:space="0" w:color="auto"/>
        <w:left w:val="none" w:sz="0" w:space="0" w:color="auto"/>
        <w:bottom w:val="none" w:sz="0" w:space="0" w:color="auto"/>
        <w:right w:val="none" w:sz="0" w:space="0" w:color="auto"/>
      </w:divBdr>
    </w:div>
    <w:div w:id="517735441">
      <w:bodyDiv w:val="1"/>
      <w:marLeft w:val="0"/>
      <w:marRight w:val="0"/>
      <w:marTop w:val="0"/>
      <w:marBottom w:val="0"/>
      <w:divBdr>
        <w:top w:val="none" w:sz="0" w:space="0" w:color="auto"/>
        <w:left w:val="none" w:sz="0" w:space="0" w:color="auto"/>
        <w:bottom w:val="none" w:sz="0" w:space="0" w:color="auto"/>
        <w:right w:val="none" w:sz="0" w:space="0" w:color="auto"/>
      </w:divBdr>
    </w:div>
    <w:div w:id="522282063">
      <w:bodyDiv w:val="1"/>
      <w:marLeft w:val="0"/>
      <w:marRight w:val="0"/>
      <w:marTop w:val="0"/>
      <w:marBottom w:val="0"/>
      <w:divBdr>
        <w:top w:val="none" w:sz="0" w:space="0" w:color="auto"/>
        <w:left w:val="none" w:sz="0" w:space="0" w:color="auto"/>
        <w:bottom w:val="none" w:sz="0" w:space="0" w:color="auto"/>
        <w:right w:val="none" w:sz="0" w:space="0" w:color="auto"/>
      </w:divBdr>
    </w:div>
    <w:div w:id="522397403">
      <w:bodyDiv w:val="1"/>
      <w:marLeft w:val="0"/>
      <w:marRight w:val="0"/>
      <w:marTop w:val="0"/>
      <w:marBottom w:val="0"/>
      <w:divBdr>
        <w:top w:val="none" w:sz="0" w:space="0" w:color="auto"/>
        <w:left w:val="none" w:sz="0" w:space="0" w:color="auto"/>
        <w:bottom w:val="none" w:sz="0" w:space="0" w:color="auto"/>
        <w:right w:val="none" w:sz="0" w:space="0" w:color="auto"/>
      </w:divBdr>
    </w:div>
    <w:div w:id="529882872">
      <w:bodyDiv w:val="1"/>
      <w:marLeft w:val="0"/>
      <w:marRight w:val="0"/>
      <w:marTop w:val="0"/>
      <w:marBottom w:val="0"/>
      <w:divBdr>
        <w:top w:val="none" w:sz="0" w:space="0" w:color="auto"/>
        <w:left w:val="none" w:sz="0" w:space="0" w:color="auto"/>
        <w:bottom w:val="none" w:sz="0" w:space="0" w:color="auto"/>
        <w:right w:val="none" w:sz="0" w:space="0" w:color="auto"/>
      </w:divBdr>
    </w:div>
    <w:div w:id="538124818">
      <w:bodyDiv w:val="1"/>
      <w:marLeft w:val="0"/>
      <w:marRight w:val="0"/>
      <w:marTop w:val="0"/>
      <w:marBottom w:val="0"/>
      <w:divBdr>
        <w:top w:val="none" w:sz="0" w:space="0" w:color="auto"/>
        <w:left w:val="none" w:sz="0" w:space="0" w:color="auto"/>
        <w:bottom w:val="none" w:sz="0" w:space="0" w:color="auto"/>
        <w:right w:val="none" w:sz="0" w:space="0" w:color="auto"/>
      </w:divBdr>
    </w:div>
    <w:div w:id="539362216">
      <w:bodyDiv w:val="1"/>
      <w:marLeft w:val="0"/>
      <w:marRight w:val="0"/>
      <w:marTop w:val="0"/>
      <w:marBottom w:val="0"/>
      <w:divBdr>
        <w:top w:val="none" w:sz="0" w:space="0" w:color="auto"/>
        <w:left w:val="none" w:sz="0" w:space="0" w:color="auto"/>
        <w:bottom w:val="none" w:sz="0" w:space="0" w:color="auto"/>
        <w:right w:val="none" w:sz="0" w:space="0" w:color="auto"/>
      </w:divBdr>
    </w:div>
    <w:div w:id="541140279">
      <w:bodyDiv w:val="1"/>
      <w:marLeft w:val="0"/>
      <w:marRight w:val="0"/>
      <w:marTop w:val="0"/>
      <w:marBottom w:val="0"/>
      <w:divBdr>
        <w:top w:val="none" w:sz="0" w:space="0" w:color="auto"/>
        <w:left w:val="none" w:sz="0" w:space="0" w:color="auto"/>
        <w:bottom w:val="none" w:sz="0" w:space="0" w:color="auto"/>
        <w:right w:val="none" w:sz="0" w:space="0" w:color="auto"/>
      </w:divBdr>
    </w:div>
    <w:div w:id="545915184">
      <w:bodyDiv w:val="1"/>
      <w:marLeft w:val="0"/>
      <w:marRight w:val="0"/>
      <w:marTop w:val="0"/>
      <w:marBottom w:val="0"/>
      <w:divBdr>
        <w:top w:val="none" w:sz="0" w:space="0" w:color="auto"/>
        <w:left w:val="none" w:sz="0" w:space="0" w:color="auto"/>
        <w:bottom w:val="none" w:sz="0" w:space="0" w:color="auto"/>
        <w:right w:val="none" w:sz="0" w:space="0" w:color="auto"/>
      </w:divBdr>
    </w:div>
    <w:div w:id="548227363">
      <w:bodyDiv w:val="1"/>
      <w:marLeft w:val="0"/>
      <w:marRight w:val="0"/>
      <w:marTop w:val="0"/>
      <w:marBottom w:val="0"/>
      <w:divBdr>
        <w:top w:val="none" w:sz="0" w:space="0" w:color="auto"/>
        <w:left w:val="none" w:sz="0" w:space="0" w:color="auto"/>
        <w:bottom w:val="none" w:sz="0" w:space="0" w:color="auto"/>
        <w:right w:val="none" w:sz="0" w:space="0" w:color="auto"/>
      </w:divBdr>
    </w:div>
    <w:div w:id="556280578">
      <w:bodyDiv w:val="1"/>
      <w:marLeft w:val="0"/>
      <w:marRight w:val="0"/>
      <w:marTop w:val="0"/>
      <w:marBottom w:val="0"/>
      <w:divBdr>
        <w:top w:val="none" w:sz="0" w:space="0" w:color="auto"/>
        <w:left w:val="none" w:sz="0" w:space="0" w:color="auto"/>
        <w:bottom w:val="none" w:sz="0" w:space="0" w:color="auto"/>
        <w:right w:val="none" w:sz="0" w:space="0" w:color="auto"/>
      </w:divBdr>
    </w:div>
    <w:div w:id="560674478">
      <w:bodyDiv w:val="1"/>
      <w:marLeft w:val="0"/>
      <w:marRight w:val="0"/>
      <w:marTop w:val="0"/>
      <w:marBottom w:val="0"/>
      <w:divBdr>
        <w:top w:val="none" w:sz="0" w:space="0" w:color="auto"/>
        <w:left w:val="none" w:sz="0" w:space="0" w:color="auto"/>
        <w:bottom w:val="none" w:sz="0" w:space="0" w:color="auto"/>
        <w:right w:val="none" w:sz="0" w:space="0" w:color="auto"/>
      </w:divBdr>
    </w:div>
    <w:div w:id="562760300">
      <w:bodyDiv w:val="1"/>
      <w:marLeft w:val="0"/>
      <w:marRight w:val="0"/>
      <w:marTop w:val="0"/>
      <w:marBottom w:val="0"/>
      <w:divBdr>
        <w:top w:val="none" w:sz="0" w:space="0" w:color="auto"/>
        <w:left w:val="none" w:sz="0" w:space="0" w:color="auto"/>
        <w:bottom w:val="none" w:sz="0" w:space="0" w:color="auto"/>
        <w:right w:val="none" w:sz="0" w:space="0" w:color="auto"/>
      </w:divBdr>
    </w:div>
    <w:div w:id="573249305">
      <w:bodyDiv w:val="1"/>
      <w:marLeft w:val="0"/>
      <w:marRight w:val="0"/>
      <w:marTop w:val="0"/>
      <w:marBottom w:val="0"/>
      <w:divBdr>
        <w:top w:val="none" w:sz="0" w:space="0" w:color="auto"/>
        <w:left w:val="none" w:sz="0" w:space="0" w:color="auto"/>
        <w:bottom w:val="none" w:sz="0" w:space="0" w:color="auto"/>
        <w:right w:val="none" w:sz="0" w:space="0" w:color="auto"/>
      </w:divBdr>
    </w:div>
    <w:div w:id="586770881">
      <w:bodyDiv w:val="1"/>
      <w:marLeft w:val="0"/>
      <w:marRight w:val="0"/>
      <w:marTop w:val="0"/>
      <w:marBottom w:val="0"/>
      <w:divBdr>
        <w:top w:val="none" w:sz="0" w:space="0" w:color="auto"/>
        <w:left w:val="none" w:sz="0" w:space="0" w:color="auto"/>
        <w:bottom w:val="none" w:sz="0" w:space="0" w:color="auto"/>
        <w:right w:val="none" w:sz="0" w:space="0" w:color="auto"/>
      </w:divBdr>
    </w:div>
    <w:div w:id="588542078">
      <w:bodyDiv w:val="1"/>
      <w:marLeft w:val="0"/>
      <w:marRight w:val="0"/>
      <w:marTop w:val="0"/>
      <w:marBottom w:val="0"/>
      <w:divBdr>
        <w:top w:val="none" w:sz="0" w:space="0" w:color="auto"/>
        <w:left w:val="none" w:sz="0" w:space="0" w:color="auto"/>
        <w:bottom w:val="none" w:sz="0" w:space="0" w:color="auto"/>
        <w:right w:val="none" w:sz="0" w:space="0" w:color="auto"/>
      </w:divBdr>
    </w:div>
    <w:div w:id="589587367">
      <w:bodyDiv w:val="1"/>
      <w:marLeft w:val="0"/>
      <w:marRight w:val="0"/>
      <w:marTop w:val="0"/>
      <w:marBottom w:val="0"/>
      <w:divBdr>
        <w:top w:val="none" w:sz="0" w:space="0" w:color="auto"/>
        <w:left w:val="none" w:sz="0" w:space="0" w:color="auto"/>
        <w:bottom w:val="none" w:sz="0" w:space="0" w:color="auto"/>
        <w:right w:val="none" w:sz="0" w:space="0" w:color="auto"/>
      </w:divBdr>
    </w:div>
    <w:div w:id="595751624">
      <w:bodyDiv w:val="1"/>
      <w:marLeft w:val="0"/>
      <w:marRight w:val="0"/>
      <w:marTop w:val="0"/>
      <w:marBottom w:val="0"/>
      <w:divBdr>
        <w:top w:val="none" w:sz="0" w:space="0" w:color="auto"/>
        <w:left w:val="none" w:sz="0" w:space="0" w:color="auto"/>
        <w:bottom w:val="none" w:sz="0" w:space="0" w:color="auto"/>
        <w:right w:val="none" w:sz="0" w:space="0" w:color="auto"/>
      </w:divBdr>
    </w:div>
    <w:div w:id="599337716">
      <w:bodyDiv w:val="1"/>
      <w:marLeft w:val="0"/>
      <w:marRight w:val="0"/>
      <w:marTop w:val="0"/>
      <w:marBottom w:val="0"/>
      <w:divBdr>
        <w:top w:val="none" w:sz="0" w:space="0" w:color="auto"/>
        <w:left w:val="none" w:sz="0" w:space="0" w:color="auto"/>
        <w:bottom w:val="none" w:sz="0" w:space="0" w:color="auto"/>
        <w:right w:val="none" w:sz="0" w:space="0" w:color="auto"/>
      </w:divBdr>
    </w:div>
    <w:div w:id="601451437">
      <w:bodyDiv w:val="1"/>
      <w:marLeft w:val="0"/>
      <w:marRight w:val="0"/>
      <w:marTop w:val="0"/>
      <w:marBottom w:val="0"/>
      <w:divBdr>
        <w:top w:val="none" w:sz="0" w:space="0" w:color="auto"/>
        <w:left w:val="none" w:sz="0" w:space="0" w:color="auto"/>
        <w:bottom w:val="none" w:sz="0" w:space="0" w:color="auto"/>
        <w:right w:val="none" w:sz="0" w:space="0" w:color="auto"/>
      </w:divBdr>
    </w:div>
    <w:div w:id="602499578">
      <w:bodyDiv w:val="1"/>
      <w:marLeft w:val="0"/>
      <w:marRight w:val="0"/>
      <w:marTop w:val="0"/>
      <w:marBottom w:val="0"/>
      <w:divBdr>
        <w:top w:val="none" w:sz="0" w:space="0" w:color="auto"/>
        <w:left w:val="none" w:sz="0" w:space="0" w:color="auto"/>
        <w:bottom w:val="none" w:sz="0" w:space="0" w:color="auto"/>
        <w:right w:val="none" w:sz="0" w:space="0" w:color="auto"/>
      </w:divBdr>
    </w:div>
    <w:div w:id="612052606">
      <w:bodyDiv w:val="1"/>
      <w:marLeft w:val="0"/>
      <w:marRight w:val="0"/>
      <w:marTop w:val="0"/>
      <w:marBottom w:val="0"/>
      <w:divBdr>
        <w:top w:val="none" w:sz="0" w:space="0" w:color="auto"/>
        <w:left w:val="none" w:sz="0" w:space="0" w:color="auto"/>
        <w:bottom w:val="none" w:sz="0" w:space="0" w:color="auto"/>
        <w:right w:val="none" w:sz="0" w:space="0" w:color="auto"/>
      </w:divBdr>
    </w:div>
    <w:div w:id="614751507">
      <w:bodyDiv w:val="1"/>
      <w:marLeft w:val="0"/>
      <w:marRight w:val="0"/>
      <w:marTop w:val="0"/>
      <w:marBottom w:val="0"/>
      <w:divBdr>
        <w:top w:val="none" w:sz="0" w:space="0" w:color="auto"/>
        <w:left w:val="none" w:sz="0" w:space="0" w:color="auto"/>
        <w:bottom w:val="none" w:sz="0" w:space="0" w:color="auto"/>
        <w:right w:val="none" w:sz="0" w:space="0" w:color="auto"/>
      </w:divBdr>
    </w:div>
    <w:div w:id="625552098">
      <w:bodyDiv w:val="1"/>
      <w:marLeft w:val="0"/>
      <w:marRight w:val="0"/>
      <w:marTop w:val="0"/>
      <w:marBottom w:val="0"/>
      <w:divBdr>
        <w:top w:val="none" w:sz="0" w:space="0" w:color="auto"/>
        <w:left w:val="none" w:sz="0" w:space="0" w:color="auto"/>
        <w:bottom w:val="none" w:sz="0" w:space="0" w:color="auto"/>
        <w:right w:val="none" w:sz="0" w:space="0" w:color="auto"/>
      </w:divBdr>
    </w:div>
    <w:div w:id="663436142">
      <w:bodyDiv w:val="1"/>
      <w:marLeft w:val="0"/>
      <w:marRight w:val="0"/>
      <w:marTop w:val="0"/>
      <w:marBottom w:val="0"/>
      <w:divBdr>
        <w:top w:val="none" w:sz="0" w:space="0" w:color="auto"/>
        <w:left w:val="none" w:sz="0" w:space="0" w:color="auto"/>
        <w:bottom w:val="none" w:sz="0" w:space="0" w:color="auto"/>
        <w:right w:val="none" w:sz="0" w:space="0" w:color="auto"/>
      </w:divBdr>
    </w:div>
    <w:div w:id="666907098">
      <w:bodyDiv w:val="1"/>
      <w:marLeft w:val="0"/>
      <w:marRight w:val="0"/>
      <w:marTop w:val="0"/>
      <w:marBottom w:val="0"/>
      <w:divBdr>
        <w:top w:val="none" w:sz="0" w:space="0" w:color="auto"/>
        <w:left w:val="none" w:sz="0" w:space="0" w:color="auto"/>
        <w:bottom w:val="none" w:sz="0" w:space="0" w:color="auto"/>
        <w:right w:val="none" w:sz="0" w:space="0" w:color="auto"/>
      </w:divBdr>
    </w:div>
    <w:div w:id="669526451">
      <w:bodyDiv w:val="1"/>
      <w:marLeft w:val="0"/>
      <w:marRight w:val="0"/>
      <w:marTop w:val="0"/>
      <w:marBottom w:val="0"/>
      <w:divBdr>
        <w:top w:val="none" w:sz="0" w:space="0" w:color="auto"/>
        <w:left w:val="none" w:sz="0" w:space="0" w:color="auto"/>
        <w:bottom w:val="none" w:sz="0" w:space="0" w:color="auto"/>
        <w:right w:val="none" w:sz="0" w:space="0" w:color="auto"/>
      </w:divBdr>
    </w:div>
    <w:div w:id="700319489">
      <w:bodyDiv w:val="1"/>
      <w:marLeft w:val="0"/>
      <w:marRight w:val="0"/>
      <w:marTop w:val="0"/>
      <w:marBottom w:val="0"/>
      <w:divBdr>
        <w:top w:val="none" w:sz="0" w:space="0" w:color="auto"/>
        <w:left w:val="none" w:sz="0" w:space="0" w:color="auto"/>
        <w:bottom w:val="none" w:sz="0" w:space="0" w:color="auto"/>
        <w:right w:val="none" w:sz="0" w:space="0" w:color="auto"/>
      </w:divBdr>
    </w:div>
    <w:div w:id="719476250">
      <w:bodyDiv w:val="1"/>
      <w:marLeft w:val="0"/>
      <w:marRight w:val="0"/>
      <w:marTop w:val="0"/>
      <w:marBottom w:val="0"/>
      <w:divBdr>
        <w:top w:val="none" w:sz="0" w:space="0" w:color="auto"/>
        <w:left w:val="none" w:sz="0" w:space="0" w:color="auto"/>
        <w:bottom w:val="none" w:sz="0" w:space="0" w:color="auto"/>
        <w:right w:val="none" w:sz="0" w:space="0" w:color="auto"/>
      </w:divBdr>
    </w:div>
    <w:div w:id="729882339">
      <w:bodyDiv w:val="1"/>
      <w:marLeft w:val="0"/>
      <w:marRight w:val="0"/>
      <w:marTop w:val="0"/>
      <w:marBottom w:val="0"/>
      <w:divBdr>
        <w:top w:val="none" w:sz="0" w:space="0" w:color="auto"/>
        <w:left w:val="none" w:sz="0" w:space="0" w:color="auto"/>
        <w:bottom w:val="none" w:sz="0" w:space="0" w:color="auto"/>
        <w:right w:val="none" w:sz="0" w:space="0" w:color="auto"/>
      </w:divBdr>
      <w:divsChild>
        <w:div w:id="89283302">
          <w:marLeft w:val="0"/>
          <w:marRight w:val="0"/>
          <w:marTop w:val="15"/>
          <w:marBottom w:val="0"/>
          <w:divBdr>
            <w:top w:val="single" w:sz="48" w:space="0" w:color="auto"/>
            <w:left w:val="single" w:sz="48" w:space="0" w:color="auto"/>
            <w:bottom w:val="single" w:sz="48" w:space="0" w:color="auto"/>
            <w:right w:val="single" w:sz="48" w:space="0" w:color="auto"/>
          </w:divBdr>
          <w:divsChild>
            <w:div w:id="14861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5664">
      <w:bodyDiv w:val="1"/>
      <w:marLeft w:val="0"/>
      <w:marRight w:val="0"/>
      <w:marTop w:val="0"/>
      <w:marBottom w:val="0"/>
      <w:divBdr>
        <w:top w:val="none" w:sz="0" w:space="0" w:color="auto"/>
        <w:left w:val="none" w:sz="0" w:space="0" w:color="auto"/>
        <w:bottom w:val="none" w:sz="0" w:space="0" w:color="auto"/>
        <w:right w:val="none" w:sz="0" w:space="0" w:color="auto"/>
      </w:divBdr>
      <w:divsChild>
        <w:div w:id="1051079608">
          <w:marLeft w:val="0"/>
          <w:marRight w:val="0"/>
          <w:marTop w:val="15"/>
          <w:marBottom w:val="0"/>
          <w:divBdr>
            <w:top w:val="single" w:sz="48" w:space="0" w:color="auto"/>
            <w:left w:val="single" w:sz="48" w:space="0" w:color="auto"/>
            <w:bottom w:val="single" w:sz="48" w:space="0" w:color="auto"/>
            <w:right w:val="single" w:sz="48" w:space="0" w:color="auto"/>
          </w:divBdr>
          <w:divsChild>
            <w:div w:id="1608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43">
      <w:bodyDiv w:val="1"/>
      <w:marLeft w:val="0"/>
      <w:marRight w:val="0"/>
      <w:marTop w:val="0"/>
      <w:marBottom w:val="0"/>
      <w:divBdr>
        <w:top w:val="none" w:sz="0" w:space="0" w:color="auto"/>
        <w:left w:val="none" w:sz="0" w:space="0" w:color="auto"/>
        <w:bottom w:val="none" w:sz="0" w:space="0" w:color="auto"/>
        <w:right w:val="none" w:sz="0" w:space="0" w:color="auto"/>
      </w:divBdr>
    </w:div>
    <w:div w:id="743987848">
      <w:bodyDiv w:val="1"/>
      <w:marLeft w:val="0"/>
      <w:marRight w:val="0"/>
      <w:marTop w:val="0"/>
      <w:marBottom w:val="0"/>
      <w:divBdr>
        <w:top w:val="none" w:sz="0" w:space="0" w:color="auto"/>
        <w:left w:val="none" w:sz="0" w:space="0" w:color="auto"/>
        <w:bottom w:val="none" w:sz="0" w:space="0" w:color="auto"/>
        <w:right w:val="none" w:sz="0" w:space="0" w:color="auto"/>
      </w:divBdr>
    </w:div>
    <w:div w:id="751007065">
      <w:bodyDiv w:val="1"/>
      <w:marLeft w:val="0"/>
      <w:marRight w:val="0"/>
      <w:marTop w:val="0"/>
      <w:marBottom w:val="0"/>
      <w:divBdr>
        <w:top w:val="none" w:sz="0" w:space="0" w:color="auto"/>
        <w:left w:val="none" w:sz="0" w:space="0" w:color="auto"/>
        <w:bottom w:val="none" w:sz="0" w:space="0" w:color="auto"/>
        <w:right w:val="none" w:sz="0" w:space="0" w:color="auto"/>
      </w:divBdr>
    </w:div>
    <w:div w:id="778571699">
      <w:bodyDiv w:val="1"/>
      <w:marLeft w:val="0"/>
      <w:marRight w:val="0"/>
      <w:marTop w:val="0"/>
      <w:marBottom w:val="0"/>
      <w:divBdr>
        <w:top w:val="none" w:sz="0" w:space="0" w:color="auto"/>
        <w:left w:val="none" w:sz="0" w:space="0" w:color="auto"/>
        <w:bottom w:val="none" w:sz="0" w:space="0" w:color="auto"/>
        <w:right w:val="none" w:sz="0" w:space="0" w:color="auto"/>
      </w:divBdr>
    </w:div>
    <w:div w:id="784618621">
      <w:bodyDiv w:val="1"/>
      <w:marLeft w:val="0"/>
      <w:marRight w:val="0"/>
      <w:marTop w:val="0"/>
      <w:marBottom w:val="0"/>
      <w:divBdr>
        <w:top w:val="none" w:sz="0" w:space="0" w:color="auto"/>
        <w:left w:val="none" w:sz="0" w:space="0" w:color="auto"/>
        <w:bottom w:val="none" w:sz="0" w:space="0" w:color="auto"/>
        <w:right w:val="none" w:sz="0" w:space="0" w:color="auto"/>
      </w:divBdr>
    </w:div>
    <w:div w:id="808326308">
      <w:bodyDiv w:val="1"/>
      <w:marLeft w:val="0"/>
      <w:marRight w:val="0"/>
      <w:marTop w:val="0"/>
      <w:marBottom w:val="0"/>
      <w:divBdr>
        <w:top w:val="none" w:sz="0" w:space="0" w:color="auto"/>
        <w:left w:val="none" w:sz="0" w:space="0" w:color="auto"/>
        <w:bottom w:val="none" w:sz="0" w:space="0" w:color="auto"/>
        <w:right w:val="none" w:sz="0" w:space="0" w:color="auto"/>
      </w:divBdr>
    </w:div>
    <w:div w:id="812523909">
      <w:bodyDiv w:val="1"/>
      <w:marLeft w:val="0"/>
      <w:marRight w:val="0"/>
      <w:marTop w:val="0"/>
      <w:marBottom w:val="0"/>
      <w:divBdr>
        <w:top w:val="none" w:sz="0" w:space="0" w:color="auto"/>
        <w:left w:val="none" w:sz="0" w:space="0" w:color="auto"/>
        <w:bottom w:val="none" w:sz="0" w:space="0" w:color="auto"/>
        <w:right w:val="none" w:sz="0" w:space="0" w:color="auto"/>
      </w:divBdr>
    </w:div>
    <w:div w:id="835920535">
      <w:bodyDiv w:val="1"/>
      <w:marLeft w:val="0"/>
      <w:marRight w:val="0"/>
      <w:marTop w:val="0"/>
      <w:marBottom w:val="0"/>
      <w:divBdr>
        <w:top w:val="none" w:sz="0" w:space="0" w:color="auto"/>
        <w:left w:val="none" w:sz="0" w:space="0" w:color="auto"/>
        <w:bottom w:val="none" w:sz="0" w:space="0" w:color="auto"/>
        <w:right w:val="none" w:sz="0" w:space="0" w:color="auto"/>
      </w:divBdr>
    </w:div>
    <w:div w:id="854659218">
      <w:bodyDiv w:val="1"/>
      <w:marLeft w:val="0"/>
      <w:marRight w:val="0"/>
      <w:marTop w:val="0"/>
      <w:marBottom w:val="0"/>
      <w:divBdr>
        <w:top w:val="none" w:sz="0" w:space="0" w:color="auto"/>
        <w:left w:val="none" w:sz="0" w:space="0" w:color="auto"/>
        <w:bottom w:val="none" w:sz="0" w:space="0" w:color="auto"/>
        <w:right w:val="none" w:sz="0" w:space="0" w:color="auto"/>
      </w:divBdr>
    </w:div>
    <w:div w:id="855533350">
      <w:bodyDiv w:val="1"/>
      <w:marLeft w:val="0"/>
      <w:marRight w:val="0"/>
      <w:marTop w:val="0"/>
      <w:marBottom w:val="0"/>
      <w:divBdr>
        <w:top w:val="none" w:sz="0" w:space="0" w:color="auto"/>
        <w:left w:val="none" w:sz="0" w:space="0" w:color="auto"/>
        <w:bottom w:val="none" w:sz="0" w:space="0" w:color="auto"/>
        <w:right w:val="none" w:sz="0" w:space="0" w:color="auto"/>
      </w:divBdr>
    </w:div>
    <w:div w:id="860626283">
      <w:bodyDiv w:val="1"/>
      <w:marLeft w:val="0"/>
      <w:marRight w:val="0"/>
      <w:marTop w:val="0"/>
      <w:marBottom w:val="0"/>
      <w:divBdr>
        <w:top w:val="none" w:sz="0" w:space="0" w:color="auto"/>
        <w:left w:val="none" w:sz="0" w:space="0" w:color="auto"/>
        <w:bottom w:val="none" w:sz="0" w:space="0" w:color="auto"/>
        <w:right w:val="none" w:sz="0" w:space="0" w:color="auto"/>
      </w:divBdr>
    </w:div>
    <w:div w:id="867908592">
      <w:bodyDiv w:val="1"/>
      <w:marLeft w:val="0"/>
      <w:marRight w:val="0"/>
      <w:marTop w:val="0"/>
      <w:marBottom w:val="0"/>
      <w:divBdr>
        <w:top w:val="none" w:sz="0" w:space="0" w:color="auto"/>
        <w:left w:val="none" w:sz="0" w:space="0" w:color="auto"/>
        <w:bottom w:val="none" w:sz="0" w:space="0" w:color="auto"/>
        <w:right w:val="none" w:sz="0" w:space="0" w:color="auto"/>
      </w:divBdr>
    </w:div>
    <w:div w:id="873156365">
      <w:bodyDiv w:val="1"/>
      <w:marLeft w:val="0"/>
      <w:marRight w:val="0"/>
      <w:marTop w:val="0"/>
      <w:marBottom w:val="0"/>
      <w:divBdr>
        <w:top w:val="none" w:sz="0" w:space="0" w:color="auto"/>
        <w:left w:val="none" w:sz="0" w:space="0" w:color="auto"/>
        <w:bottom w:val="none" w:sz="0" w:space="0" w:color="auto"/>
        <w:right w:val="none" w:sz="0" w:space="0" w:color="auto"/>
      </w:divBdr>
    </w:div>
    <w:div w:id="876770359">
      <w:bodyDiv w:val="1"/>
      <w:marLeft w:val="0"/>
      <w:marRight w:val="0"/>
      <w:marTop w:val="0"/>
      <w:marBottom w:val="0"/>
      <w:divBdr>
        <w:top w:val="none" w:sz="0" w:space="0" w:color="auto"/>
        <w:left w:val="none" w:sz="0" w:space="0" w:color="auto"/>
        <w:bottom w:val="none" w:sz="0" w:space="0" w:color="auto"/>
        <w:right w:val="none" w:sz="0" w:space="0" w:color="auto"/>
      </w:divBdr>
    </w:div>
    <w:div w:id="879897427">
      <w:bodyDiv w:val="1"/>
      <w:marLeft w:val="0"/>
      <w:marRight w:val="0"/>
      <w:marTop w:val="0"/>
      <w:marBottom w:val="0"/>
      <w:divBdr>
        <w:top w:val="none" w:sz="0" w:space="0" w:color="auto"/>
        <w:left w:val="none" w:sz="0" w:space="0" w:color="auto"/>
        <w:bottom w:val="none" w:sz="0" w:space="0" w:color="auto"/>
        <w:right w:val="none" w:sz="0" w:space="0" w:color="auto"/>
      </w:divBdr>
    </w:div>
    <w:div w:id="905991188">
      <w:bodyDiv w:val="1"/>
      <w:marLeft w:val="0"/>
      <w:marRight w:val="0"/>
      <w:marTop w:val="0"/>
      <w:marBottom w:val="0"/>
      <w:divBdr>
        <w:top w:val="none" w:sz="0" w:space="0" w:color="auto"/>
        <w:left w:val="none" w:sz="0" w:space="0" w:color="auto"/>
        <w:bottom w:val="none" w:sz="0" w:space="0" w:color="auto"/>
        <w:right w:val="none" w:sz="0" w:space="0" w:color="auto"/>
      </w:divBdr>
    </w:div>
    <w:div w:id="930353675">
      <w:bodyDiv w:val="1"/>
      <w:marLeft w:val="0"/>
      <w:marRight w:val="0"/>
      <w:marTop w:val="0"/>
      <w:marBottom w:val="0"/>
      <w:divBdr>
        <w:top w:val="none" w:sz="0" w:space="0" w:color="auto"/>
        <w:left w:val="none" w:sz="0" w:space="0" w:color="auto"/>
        <w:bottom w:val="none" w:sz="0" w:space="0" w:color="auto"/>
        <w:right w:val="none" w:sz="0" w:space="0" w:color="auto"/>
      </w:divBdr>
      <w:divsChild>
        <w:div w:id="66585513">
          <w:marLeft w:val="0"/>
          <w:marRight w:val="0"/>
          <w:marTop w:val="0"/>
          <w:marBottom w:val="0"/>
          <w:divBdr>
            <w:top w:val="none" w:sz="0" w:space="0" w:color="auto"/>
            <w:left w:val="none" w:sz="0" w:space="0" w:color="auto"/>
            <w:bottom w:val="none" w:sz="0" w:space="0" w:color="auto"/>
            <w:right w:val="none" w:sz="0" w:space="0" w:color="auto"/>
          </w:divBdr>
        </w:div>
        <w:div w:id="354892090">
          <w:marLeft w:val="0"/>
          <w:marRight w:val="0"/>
          <w:marTop w:val="0"/>
          <w:marBottom w:val="0"/>
          <w:divBdr>
            <w:top w:val="none" w:sz="0" w:space="0" w:color="auto"/>
            <w:left w:val="none" w:sz="0" w:space="0" w:color="auto"/>
            <w:bottom w:val="none" w:sz="0" w:space="0" w:color="auto"/>
            <w:right w:val="none" w:sz="0" w:space="0" w:color="auto"/>
          </w:divBdr>
        </w:div>
        <w:div w:id="723796719">
          <w:marLeft w:val="0"/>
          <w:marRight w:val="0"/>
          <w:marTop w:val="0"/>
          <w:marBottom w:val="0"/>
          <w:divBdr>
            <w:top w:val="none" w:sz="0" w:space="0" w:color="auto"/>
            <w:left w:val="none" w:sz="0" w:space="0" w:color="auto"/>
            <w:bottom w:val="none" w:sz="0" w:space="0" w:color="auto"/>
            <w:right w:val="none" w:sz="0" w:space="0" w:color="auto"/>
          </w:divBdr>
        </w:div>
        <w:div w:id="1803844598">
          <w:marLeft w:val="0"/>
          <w:marRight w:val="0"/>
          <w:marTop w:val="0"/>
          <w:marBottom w:val="0"/>
          <w:divBdr>
            <w:top w:val="none" w:sz="0" w:space="0" w:color="auto"/>
            <w:left w:val="none" w:sz="0" w:space="0" w:color="auto"/>
            <w:bottom w:val="none" w:sz="0" w:space="0" w:color="auto"/>
            <w:right w:val="none" w:sz="0" w:space="0" w:color="auto"/>
          </w:divBdr>
        </w:div>
        <w:div w:id="1810509872">
          <w:marLeft w:val="0"/>
          <w:marRight w:val="0"/>
          <w:marTop w:val="0"/>
          <w:marBottom w:val="0"/>
          <w:divBdr>
            <w:top w:val="none" w:sz="0" w:space="0" w:color="auto"/>
            <w:left w:val="none" w:sz="0" w:space="0" w:color="auto"/>
            <w:bottom w:val="none" w:sz="0" w:space="0" w:color="auto"/>
            <w:right w:val="none" w:sz="0" w:space="0" w:color="auto"/>
          </w:divBdr>
        </w:div>
      </w:divsChild>
    </w:div>
    <w:div w:id="940331985">
      <w:bodyDiv w:val="1"/>
      <w:marLeft w:val="0"/>
      <w:marRight w:val="0"/>
      <w:marTop w:val="0"/>
      <w:marBottom w:val="0"/>
      <w:divBdr>
        <w:top w:val="none" w:sz="0" w:space="0" w:color="auto"/>
        <w:left w:val="none" w:sz="0" w:space="0" w:color="auto"/>
        <w:bottom w:val="none" w:sz="0" w:space="0" w:color="auto"/>
        <w:right w:val="none" w:sz="0" w:space="0" w:color="auto"/>
      </w:divBdr>
    </w:div>
    <w:div w:id="942955443">
      <w:bodyDiv w:val="1"/>
      <w:marLeft w:val="0"/>
      <w:marRight w:val="0"/>
      <w:marTop w:val="0"/>
      <w:marBottom w:val="0"/>
      <w:divBdr>
        <w:top w:val="none" w:sz="0" w:space="0" w:color="auto"/>
        <w:left w:val="none" w:sz="0" w:space="0" w:color="auto"/>
        <w:bottom w:val="none" w:sz="0" w:space="0" w:color="auto"/>
        <w:right w:val="none" w:sz="0" w:space="0" w:color="auto"/>
      </w:divBdr>
    </w:div>
    <w:div w:id="949580991">
      <w:bodyDiv w:val="1"/>
      <w:marLeft w:val="0"/>
      <w:marRight w:val="0"/>
      <w:marTop w:val="0"/>
      <w:marBottom w:val="0"/>
      <w:divBdr>
        <w:top w:val="none" w:sz="0" w:space="0" w:color="auto"/>
        <w:left w:val="none" w:sz="0" w:space="0" w:color="auto"/>
        <w:bottom w:val="none" w:sz="0" w:space="0" w:color="auto"/>
        <w:right w:val="none" w:sz="0" w:space="0" w:color="auto"/>
      </w:divBdr>
    </w:div>
    <w:div w:id="955060940">
      <w:bodyDiv w:val="1"/>
      <w:marLeft w:val="0"/>
      <w:marRight w:val="0"/>
      <w:marTop w:val="0"/>
      <w:marBottom w:val="0"/>
      <w:divBdr>
        <w:top w:val="none" w:sz="0" w:space="0" w:color="auto"/>
        <w:left w:val="none" w:sz="0" w:space="0" w:color="auto"/>
        <w:bottom w:val="none" w:sz="0" w:space="0" w:color="auto"/>
        <w:right w:val="none" w:sz="0" w:space="0" w:color="auto"/>
      </w:divBdr>
    </w:div>
    <w:div w:id="973023702">
      <w:bodyDiv w:val="1"/>
      <w:marLeft w:val="0"/>
      <w:marRight w:val="0"/>
      <w:marTop w:val="0"/>
      <w:marBottom w:val="0"/>
      <w:divBdr>
        <w:top w:val="none" w:sz="0" w:space="0" w:color="auto"/>
        <w:left w:val="none" w:sz="0" w:space="0" w:color="auto"/>
        <w:bottom w:val="none" w:sz="0" w:space="0" w:color="auto"/>
        <w:right w:val="none" w:sz="0" w:space="0" w:color="auto"/>
      </w:divBdr>
      <w:divsChild>
        <w:div w:id="1214729576">
          <w:marLeft w:val="0"/>
          <w:marRight w:val="0"/>
          <w:marTop w:val="15"/>
          <w:marBottom w:val="0"/>
          <w:divBdr>
            <w:top w:val="single" w:sz="48" w:space="0" w:color="auto"/>
            <w:left w:val="single" w:sz="48" w:space="0" w:color="auto"/>
            <w:bottom w:val="single" w:sz="48" w:space="0" w:color="auto"/>
            <w:right w:val="single" w:sz="48" w:space="0" w:color="auto"/>
          </w:divBdr>
          <w:divsChild>
            <w:div w:id="14232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5993">
      <w:bodyDiv w:val="1"/>
      <w:marLeft w:val="0"/>
      <w:marRight w:val="0"/>
      <w:marTop w:val="0"/>
      <w:marBottom w:val="0"/>
      <w:divBdr>
        <w:top w:val="none" w:sz="0" w:space="0" w:color="auto"/>
        <w:left w:val="none" w:sz="0" w:space="0" w:color="auto"/>
        <w:bottom w:val="none" w:sz="0" w:space="0" w:color="auto"/>
        <w:right w:val="none" w:sz="0" w:space="0" w:color="auto"/>
      </w:divBdr>
    </w:div>
    <w:div w:id="1000694600">
      <w:bodyDiv w:val="1"/>
      <w:marLeft w:val="0"/>
      <w:marRight w:val="0"/>
      <w:marTop w:val="0"/>
      <w:marBottom w:val="0"/>
      <w:divBdr>
        <w:top w:val="none" w:sz="0" w:space="0" w:color="auto"/>
        <w:left w:val="none" w:sz="0" w:space="0" w:color="auto"/>
        <w:bottom w:val="none" w:sz="0" w:space="0" w:color="auto"/>
        <w:right w:val="none" w:sz="0" w:space="0" w:color="auto"/>
      </w:divBdr>
    </w:div>
    <w:div w:id="1008873678">
      <w:bodyDiv w:val="1"/>
      <w:marLeft w:val="0"/>
      <w:marRight w:val="0"/>
      <w:marTop w:val="0"/>
      <w:marBottom w:val="0"/>
      <w:divBdr>
        <w:top w:val="none" w:sz="0" w:space="0" w:color="auto"/>
        <w:left w:val="none" w:sz="0" w:space="0" w:color="auto"/>
        <w:bottom w:val="none" w:sz="0" w:space="0" w:color="auto"/>
        <w:right w:val="none" w:sz="0" w:space="0" w:color="auto"/>
      </w:divBdr>
      <w:divsChild>
        <w:div w:id="162011232">
          <w:marLeft w:val="0"/>
          <w:marRight w:val="0"/>
          <w:marTop w:val="0"/>
          <w:marBottom w:val="0"/>
          <w:divBdr>
            <w:top w:val="none" w:sz="0" w:space="0" w:color="auto"/>
            <w:left w:val="none" w:sz="0" w:space="0" w:color="auto"/>
            <w:bottom w:val="none" w:sz="0" w:space="0" w:color="auto"/>
            <w:right w:val="none" w:sz="0" w:space="0" w:color="auto"/>
          </w:divBdr>
        </w:div>
        <w:div w:id="678653928">
          <w:marLeft w:val="0"/>
          <w:marRight w:val="0"/>
          <w:marTop w:val="0"/>
          <w:marBottom w:val="0"/>
          <w:divBdr>
            <w:top w:val="none" w:sz="0" w:space="0" w:color="auto"/>
            <w:left w:val="none" w:sz="0" w:space="0" w:color="auto"/>
            <w:bottom w:val="none" w:sz="0" w:space="0" w:color="auto"/>
            <w:right w:val="none" w:sz="0" w:space="0" w:color="auto"/>
          </w:divBdr>
        </w:div>
        <w:div w:id="1018242356">
          <w:marLeft w:val="0"/>
          <w:marRight w:val="0"/>
          <w:marTop w:val="0"/>
          <w:marBottom w:val="0"/>
          <w:divBdr>
            <w:top w:val="none" w:sz="0" w:space="0" w:color="auto"/>
            <w:left w:val="none" w:sz="0" w:space="0" w:color="auto"/>
            <w:bottom w:val="none" w:sz="0" w:space="0" w:color="auto"/>
            <w:right w:val="none" w:sz="0" w:space="0" w:color="auto"/>
          </w:divBdr>
        </w:div>
        <w:div w:id="1202093829">
          <w:marLeft w:val="0"/>
          <w:marRight w:val="0"/>
          <w:marTop w:val="0"/>
          <w:marBottom w:val="0"/>
          <w:divBdr>
            <w:top w:val="none" w:sz="0" w:space="0" w:color="auto"/>
            <w:left w:val="none" w:sz="0" w:space="0" w:color="auto"/>
            <w:bottom w:val="none" w:sz="0" w:space="0" w:color="auto"/>
            <w:right w:val="none" w:sz="0" w:space="0" w:color="auto"/>
          </w:divBdr>
        </w:div>
      </w:divsChild>
    </w:div>
    <w:div w:id="1023702522">
      <w:bodyDiv w:val="1"/>
      <w:marLeft w:val="0"/>
      <w:marRight w:val="0"/>
      <w:marTop w:val="0"/>
      <w:marBottom w:val="0"/>
      <w:divBdr>
        <w:top w:val="none" w:sz="0" w:space="0" w:color="auto"/>
        <w:left w:val="none" w:sz="0" w:space="0" w:color="auto"/>
        <w:bottom w:val="none" w:sz="0" w:space="0" w:color="auto"/>
        <w:right w:val="none" w:sz="0" w:space="0" w:color="auto"/>
      </w:divBdr>
    </w:div>
    <w:div w:id="1028915240">
      <w:bodyDiv w:val="1"/>
      <w:marLeft w:val="0"/>
      <w:marRight w:val="0"/>
      <w:marTop w:val="0"/>
      <w:marBottom w:val="0"/>
      <w:divBdr>
        <w:top w:val="none" w:sz="0" w:space="0" w:color="auto"/>
        <w:left w:val="none" w:sz="0" w:space="0" w:color="auto"/>
        <w:bottom w:val="none" w:sz="0" w:space="0" w:color="auto"/>
        <w:right w:val="none" w:sz="0" w:space="0" w:color="auto"/>
      </w:divBdr>
    </w:div>
    <w:div w:id="1037392532">
      <w:bodyDiv w:val="1"/>
      <w:marLeft w:val="0"/>
      <w:marRight w:val="0"/>
      <w:marTop w:val="0"/>
      <w:marBottom w:val="0"/>
      <w:divBdr>
        <w:top w:val="none" w:sz="0" w:space="0" w:color="auto"/>
        <w:left w:val="none" w:sz="0" w:space="0" w:color="auto"/>
        <w:bottom w:val="none" w:sz="0" w:space="0" w:color="auto"/>
        <w:right w:val="none" w:sz="0" w:space="0" w:color="auto"/>
      </w:divBdr>
    </w:div>
    <w:div w:id="1040976312">
      <w:bodyDiv w:val="1"/>
      <w:marLeft w:val="0"/>
      <w:marRight w:val="0"/>
      <w:marTop w:val="0"/>
      <w:marBottom w:val="0"/>
      <w:divBdr>
        <w:top w:val="none" w:sz="0" w:space="0" w:color="auto"/>
        <w:left w:val="none" w:sz="0" w:space="0" w:color="auto"/>
        <w:bottom w:val="none" w:sz="0" w:space="0" w:color="auto"/>
        <w:right w:val="none" w:sz="0" w:space="0" w:color="auto"/>
      </w:divBdr>
    </w:div>
    <w:div w:id="1058625622">
      <w:bodyDiv w:val="1"/>
      <w:marLeft w:val="0"/>
      <w:marRight w:val="0"/>
      <w:marTop w:val="0"/>
      <w:marBottom w:val="0"/>
      <w:divBdr>
        <w:top w:val="none" w:sz="0" w:space="0" w:color="auto"/>
        <w:left w:val="none" w:sz="0" w:space="0" w:color="auto"/>
        <w:bottom w:val="none" w:sz="0" w:space="0" w:color="auto"/>
        <w:right w:val="none" w:sz="0" w:space="0" w:color="auto"/>
      </w:divBdr>
    </w:div>
    <w:div w:id="1059745461">
      <w:bodyDiv w:val="1"/>
      <w:marLeft w:val="0"/>
      <w:marRight w:val="0"/>
      <w:marTop w:val="0"/>
      <w:marBottom w:val="0"/>
      <w:divBdr>
        <w:top w:val="none" w:sz="0" w:space="0" w:color="auto"/>
        <w:left w:val="none" w:sz="0" w:space="0" w:color="auto"/>
        <w:bottom w:val="none" w:sz="0" w:space="0" w:color="auto"/>
        <w:right w:val="none" w:sz="0" w:space="0" w:color="auto"/>
      </w:divBdr>
    </w:div>
    <w:div w:id="1082604015">
      <w:bodyDiv w:val="1"/>
      <w:marLeft w:val="0"/>
      <w:marRight w:val="0"/>
      <w:marTop w:val="0"/>
      <w:marBottom w:val="0"/>
      <w:divBdr>
        <w:top w:val="none" w:sz="0" w:space="0" w:color="auto"/>
        <w:left w:val="none" w:sz="0" w:space="0" w:color="auto"/>
        <w:bottom w:val="none" w:sz="0" w:space="0" w:color="auto"/>
        <w:right w:val="none" w:sz="0" w:space="0" w:color="auto"/>
      </w:divBdr>
      <w:divsChild>
        <w:div w:id="325325887">
          <w:marLeft w:val="0"/>
          <w:marRight w:val="0"/>
          <w:marTop w:val="0"/>
          <w:marBottom w:val="0"/>
          <w:divBdr>
            <w:top w:val="none" w:sz="0" w:space="0" w:color="auto"/>
            <w:left w:val="none" w:sz="0" w:space="0" w:color="auto"/>
            <w:bottom w:val="none" w:sz="0" w:space="0" w:color="auto"/>
            <w:right w:val="none" w:sz="0" w:space="0" w:color="auto"/>
          </w:divBdr>
        </w:div>
        <w:div w:id="340670093">
          <w:marLeft w:val="0"/>
          <w:marRight w:val="0"/>
          <w:marTop w:val="0"/>
          <w:marBottom w:val="0"/>
          <w:divBdr>
            <w:top w:val="none" w:sz="0" w:space="0" w:color="auto"/>
            <w:left w:val="none" w:sz="0" w:space="0" w:color="auto"/>
            <w:bottom w:val="none" w:sz="0" w:space="0" w:color="auto"/>
            <w:right w:val="none" w:sz="0" w:space="0" w:color="auto"/>
          </w:divBdr>
        </w:div>
        <w:div w:id="570509661">
          <w:marLeft w:val="0"/>
          <w:marRight w:val="0"/>
          <w:marTop w:val="0"/>
          <w:marBottom w:val="0"/>
          <w:divBdr>
            <w:top w:val="none" w:sz="0" w:space="0" w:color="auto"/>
            <w:left w:val="none" w:sz="0" w:space="0" w:color="auto"/>
            <w:bottom w:val="none" w:sz="0" w:space="0" w:color="auto"/>
            <w:right w:val="none" w:sz="0" w:space="0" w:color="auto"/>
          </w:divBdr>
        </w:div>
        <w:div w:id="632904205">
          <w:marLeft w:val="0"/>
          <w:marRight w:val="0"/>
          <w:marTop w:val="0"/>
          <w:marBottom w:val="0"/>
          <w:divBdr>
            <w:top w:val="none" w:sz="0" w:space="0" w:color="auto"/>
            <w:left w:val="none" w:sz="0" w:space="0" w:color="auto"/>
            <w:bottom w:val="none" w:sz="0" w:space="0" w:color="auto"/>
            <w:right w:val="none" w:sz="0" w:space="0" w:color="auto"/>
          </w:divBdr>
        </w:div>
        <w:div w:id="904684372">
          <w:marLeft w:val="0"/>
          <w:marRight w:val="0"/>
          <w:marTop w:val="0"/>
          <w:marBottom w:val="0"/>
          <w:divBdr>
            <w:top w:val="none" w:sz="0" w:space="0" w:color="auto"/>
            <w:left w:val="none" w:sz="0" w:space="0" w:color="auto"/>
            <w:bottom w:val="none" w:sz="0" w:space="0" w:color="auto"/>
            <w:right w:val="none" w:sz="0" w:space="0" w:color="auto"/>
          </w:divBdr>
        </w:div>
        <w:div w:id="1391732135">
          <w:marLeft w:val="0"/>
          <w:marRight w:val="0"/>
          <w:marTop w:val="0"/>
          <w:marBottom w:val="0"/>
          <w:divBdr>
            <w:top w:val="none" w:sz="0" w:space="0" w:color="auto"/>
            <w:left w:val="none" w:sz="0" w:space="0" w:color="auto"/>
            <w:bottom w:val="none" w:sz="0" w:space="0" w:color="auto"/>
            <w:right w:val="none" w:sz="0" w:space="0" w:color="auto"/>
          </w:divBdr>
        </w:div>
        <w:div w:id="1496334702">
          <w:marLeft w:val="0"/>
          <w:marRight w:val="0"/>
          <w:marTop w:val="0"/>
          <w:marBottom w:val="0"/>
          <w:divBdr>
            <w:top w:val="none" w:sz="0" w:space="0" w:color="auto"/>
            <w:left w:val="none" w:sz="0" w:space="0" w:color="auto"/>
            <w:bottom w:val="none" w:sz="0" w:space="0" w:color="auto"/>
            <w:right w:val="none" w:sz="0" w:space="0" w:color="auto"/>
          </w:divBdr>
        </w:div>
      </w:divsChild>
    </w:div>
    <w:div w:id="1094278269">
      <w:bodyDiv w:val="1"/>
      <w:marLeft w:val="0"/>
      <w:marRight w:val="0"/>
      <w:marTop w:val="0"/>
      <w:marBottom w:val="0"/>
      <w:divBdr>
        <w:top w:val="none" w:sz="0" w:space="0" w:color="auto"/>
        <w:left w:val="none" w:sz="0" w:space="0" w:color="auto"/>
        <w:bottom w:val="none" w:sz="0" w:space="0" w:color="auto"/>
        <w:right w:val="none" w:sz="0" w:space="0" w:color="auto"/>
      </w:divBdr>
    </w:div>
    <w:div w:id="1098914500">
      <w:bodyDiv w:val="1"/>
      <w:marLeft w:val="0"/>
      <w:marRight w:val="0"/>
      <w:marTop w:val="0"/>
      <w:marBottom w:val="0"/>
      <w:divBdr>
        <w:top w:val="none" w:sz="0" w:space="0" w:color="auto"/>
        <w:left w:val="none" w:sz="0" w:space="0" w:color="auto"/>
        <w:bottom w:val="none" w:sz="0" w:space="0" w:color="auto"/>
        <w:right w:val="none" w:sz="0" w:space="0" w:color="auto"/>
      </w:divBdr>
    </w:div>
    <w:div w:id="1118255625">
      <w:bodyDiv w:val="1"/>
      <w:marLeft w:val="0"/>
      <w:marRight w:val="0"/>
      <w:marTop w:val="0"/>
      <w:marBottom w:val="0"/>
      <w:divBdr>
        <w:top w:val="none" w:sz="0" w:space="0" w:color="auto"/>
        <w:left w:val="none" w:sz="0" w:space="0" w:color="auto"/>
        <w:bottom w:val="none" w:sz="0" w:space="0" w:color="auto"/>
        <w:right w:val="none" w:sz="0" w:space="0" w:color="auto"/>
      </w:divBdr>
    </w:div>
    <w:div w:id="1119836672">
      <w:bodyDiv w:val="1"/>
      <w:marLeft w:val="0"/>
      <w:marRight w:val="0"/>
      <w:marTop w:val="0"/>
      <w:marBottom w:val="0"/>
      <w:divBdr>
        <w:top w:val="none" w:sz="0" w:space="0" w:color="auto"/>
        <w:left w:val="none" w:sz="0" w:space="0" w:color="auto"/>
        <w:bottom w:val="none" w:sz="0" w:space="0" w:color="auto"/>
        <w:right w:val="none" w:sz="0" w:space="0" w:color="auto"/>
      </w:divBdr>
    </w:div>
    <w:div w:id="1128931759">
      <w:bodyDiv w:val="1"/>
      <w:marLeft w:val="0"/>
      <w:marRight w:val="0"/>
      <w:marTop w:val="0"/>
      <w:marBottom w:val="0"/>
      <w:divBdr>
        <w:top w:val="none" w:sz="0" w:space="0" w:color="auto"/>
        <w:left w:val="none" w:sz="0" w:space="0" w:color="auto"/>
        <w:bottom w:val="none" w:sz="0" w:space="0" w:color="auto"/>
        <w:right w:val="none" w:sz="0" w:space="0" w:color="auto"/>
      </w:divBdr>
      <w:divsChild>
        <w:div w:id="3560355">
          <w:marLeft w:val="0"/>
          <w:marRight w:val="0"/>
          <w:marTop w:val="0"/>
          <w:marBottom w:val="0"/>
          <w:divBdr>
            <w:top w:val="none" w:sz="0" w:space="0" w:color="auto"/>
            <w:left w:val="none" w:sz="0" w:space="0" w:color="auto"/>
            <w:bottom w:val="none" w:sz="0" w:space="0" w:color="auto"/>
            <w:right w:val="none" w:sz="0" w:space="0" w:color="auto"/>
          </w:divBdr>
        </w:div>
        <w:div w:id="53478796">
          <w:marLeft w:val="0"/>
          <w:marRight w:val="0"/>
          <w:marTop w:val="0"/>
          <w:marBottom w:val="0"/>
          <w:divBdr>
            <w:top w:val="none" w:sz="0" w:space="0" w:color="auto"/>
            <w:left w:val="none" w:sz="0" w:space="0" w:color="auto"/>
            <w:bottom w:val="none" w:sz="0" w:space="0" w:color="auto"/>
            <w:right w:val="none" w:sz="0" w:space="0" w:color="auto"/>
          </w:divBdr>
        </w:div>
        <w:div w:id="86582655">
          <w:marLeft w:val="0"/>
          <w:marRight w:val="0"/>
          <w:marTop w:val="0"/>
          <w:marBottom w:val="0"/>
          <w:divBdr>
            <w:top w:val="none" w:sz="0" w:space="0" w:color="auto"/>
            <w:left w:val="none" w:sz="0" w:space="0" w:color="auto"/>
            <w:bottom w:val="none" w:sz="0" w:space="0" w:color="auto"/>
            <w:right w:val="none" w:sz="0" w:space="0" w:color="auto"/>
          </w:divBdr>
        </w:div>
        <w:div w:id="143473344">
          <w:marLeft w:val="0"/>
          <w:marRight w:val="0"/>
          <w:marTop w:val="0"/>
          <w:marBottom w:val="0"/>
          <w:divBdr>
            <w:top w:val="none" w:sz="0" w:space="0" w:color="auto"/>
            <w:left w:val="none" w:sz="0" w:space="0" w:color="auto"/>
            <w:bottom w:val="none" w:sz="0" w:space="0" w:color="auto"/>
            <w:right w:val="none" w:sz="0" w:space="0" w:color="auto"/>
          </w:divBdr>
        </w:div>
        <w:div w:id="486751660">
          <w:marLeft w:val="0"/>
          <w:marRight w:val="0"/>
          <w:marTop w:val="0"/>
          <w:marBottom w:val="0"/>
          <w:divBdr>
            <w:top w:val="none" w:sz="0" w:space="0" w:color="auto"/>
            <w:left w:val="none" w:sz="0" w:space="0" w:color="auto"/>
            <w:bottom w:val="none" w:sz="0" w:space="0" w:color="auto"/>
            <w:right w:val="none" w:sz="0" w:space="0" w:color="auto"/>
          </w:divBdr>
        </w:div>
        <w:div w:id="524254425">
          <w:marLeft w:val="0"/>
          <w:marRight w:val="0"/>
          <w:marTop w:val="0"/>
          <w:marBottom w:val="0"/>
          <w:divBdr>
            <w:top w:val="none" w:sz="0" w:space="0" w:color="auto"/>
            <w:left w:val="none" w:sz="0" w:space="0" w:color="auto"/>
            <w:bottom w:val="none" w:sz="0" w:space="0" w:color="auto"/>
            <w:right w:val="none" w:sz="0" w:space="0" w:color="auto"/>
          </w:divBdr>
        </w:div>
        <w:div w:id="589314057">
          <w:marLeft w:val="0"/>
          <w:marRight w:val="0"/>
          <w:marTop w:val="0"/>
          <w:marBottom w:val="0"/>
          <w:divBdr>
            <w:top w:val="none" w:sz="0" w:space="0" w:color="auto"/>
            <w:left w:val="none" w:sz="0" w:space="0" w:color="auto"/>
            <w:bottom w:val="none" w:sz="0" w:space="0" w:color="auto"/>
            <w:right w:val="none" w:sz="0" w:space="0" w:color="auto"/>
          </w:divBdr>
        </w:div>
        <w:div w:id="605580905">
          <w:marLeft w:val="0"/>
          <w:marRight w:val="0"/>
          <w:marTop w:val="0"/>
          <w:marBottom w:val="0"/>
          <w:divBdr>
            <w:top w:val="none" w:sz="0" w:space="0" w:color="auto"/>
            <w:left w:val="none" w:sz="0" w:space="0" w:color="auto"/>
            <w:bottom w:val="none" w:sz="0" w:space="0" w:color="auto"/>
            <w:right w:val="none" w:sz="0" w:space="0" w:color="auto"/>
          </w:divBdr>
        </w:div>
        <w:div w:id="956837054">
          <w:marLeft w:val="0"/>
          <w:marRight w:val="0"/>
          <w:marTop w:val="0"/>
          <w:marBottom w:val="0"/>
          <w:divBdr>
            <w:top w:val="none" w:sz="0" w:space="0" w:color="auto"/>
            <w:left w:val="none" w:sz="0" w:space="0" w:color="auto"/>
            <w:bottom w:val="none" w:sz="0" w:space="0" w:color="auto"/>
            <w:right w:val="none" w:sz="0" w:space="0" w:color="auto"/>
          </w:divBdr>
        </w:div>
        <w:div w:id="1099301401">
          <w:marLeft w:val="0"/>
          <w:marRight w:val="0"/>
          <w:marTop w:val="0"/>
          <w:marBottom w:val="0"/>
          <w:divBdr>
            <w:top w:val="none" w:sz="0" w:space="0" w:color="auto"/>
            <w:left w:val="none" w:sz="0" w:space="0" w:color="auto"/>
            <w:bottom w:val="none" w:sz="0" w:space="0" w:color="auto"/>
            <w:right w:val="none" w:sz="0" w:space="0" w:color="auto"/>
          </w:divBdr>
        </w:div>
        <w:div w:id="1153448703">
          <w:marLeft w:val="0"/>
          <w:marRight w:val="0"/>
          <w:marTop w:val="0"/>
          <w:marBottom w:val="0"/>
          <w:divBdr>
            <w:top w:val="none" w:sz="0" w:space="0" w:color="auto"/>
            <w:left w:val="none" w:sz="0" w:space="0" w:color="auto"/>
            <w:bottom w:val="none" w:sz="0" w:space="0" w:color="auto"/>
            <w:right w:val="none" w:sz="0" w:space="0" w:color="auto"/>
          </w:divBdr>
        </w:div>
        <w:div w:id="1569802280">
          <w:marLeft w:val="0"/>
          <w:marRight w:val="0"/>
          <w:marTop w:val="0"/>
          <w:marBottom w:val="0"/>
          <w:divBdr>
            <w:top w:val="none" w:sz="0" w:space="0" w:color="auto"/>
            <w:left w:val="none" w:sz="0" w:space="0" w:color="auto"/>
            <w:bottom w:val="none" w:sz="0" w:space="0" w:color="auto"/>
            <w:right w:val="none" w:sz="0" w:space="0" w:color="auto"/>
          </w:divBdr>
        </w:div>
        <w:div w:id="1670869894">
          <w:marLeft w:val="0"/>
          <w:marRight w:val="0"/>
          <w:marTop w:val="0"/>
          <w:marBottom w:val="0"/>
          <w:divBdr>
            <w:top w:val="none" w:sz="0" w:space="0" w:color="auto"/>
            <w:left w:val="none" w:sz="0" w:space="0" w:color="auto"/>
            <w:bottom w:val="none" w:sz="0" w:space="0" w:color="auto"/>
            <w:right w:val="none" w:sz="0" w:space="0" w:color="auto"/>
          </w:divBdr>
        </w:div>
        <w:div w:id="1683432851">
          <w:marLeft w:val="0"/>
          <w:marRight w:val="0"/>
          <w:marTop w:val="0"/>
          <w:marBottom w:val="0"/>
          <w:divBdr>
            <w:top w:val="none" w:sz="0" w:space="0" w:color="auto"/>
            <w:left w:val="none" w:sz="0" w:space="0" w:color="auto"/>
            <w:bottom w:val="none" w:sz="0" w:space="0" w:color="auto"/>
            <w:right w:val="none" w:sz="0" w:space="0" w:color="auto"/>
          </w:divBdr>
        </w:div>
        <w:div w:id="1710300948">
          <w:marLeft w:val="0"/>
          <w:marRight w:val="0"/>
          <w:marTop w:val="0"/>
          <w:marBottom w:val="0"/>
          <w:divBdr>
            <w:top w:val="none" w:sz="0" w:space="0" w:color="auto"/>
            <w:left w:val="none" w:sz="0" w:space="0" w:color="auto"/>
            <w:bottom w:val="none" w:sz="0" w:space="0" w:color="auto"/>
            <w:right w:val="none" w:sz="0" w:space="0" w:color="auto"/>
          </w:divBdr>
        </w:div>
        <w:div w:id="1799030735">
          <w:marLeft w:val="0"/>
          <w:marRight w:val="0"/>
          <w:marTop w:val="0"/>
          <w:marBottom w:val="0"/>
          <w:divBdr>
            <w:top w:val="none" w:sz="0" w:space="0" w:color="auto"/>
            <w:left w:val="none" w:sz="0" w:space="0" w:color="auto"/>
            <w:bottom w:val="none" w:sz="0" w:space="0" w:color="auto"/>
            <w:right w:val="none" w:sz="0" w:space="0" w:color="auto"/>
          </w:divBdr>
        </w:div>
        <w:div w:id="1898516248">
          <w:marLeft w:val="0"/>
          <w:marRight w:val="0"/>
          <w:marTop w:val="0"/>
          <w:marBottom w:val="0"/>
          <w:divBdr>
            <w:top w:val="none" w:sz="0" w:space="0" w:color="auto"/>
            <w:left w:val="none" w:sz="0" w:space="0" w:color="auto"/>
            <w:bottom w:val="none" w:sz="0" w:space="0" w:color="auto"/>
            <w:right w:val="none" w:sz="0" w:space="0" w:color="auto"/>
          </w:divBdr>
        </w:div>
        <w:div w:id="2061778189">
          <w:marLeft w:val="0"/>
          <w:marRight w:val="0"/>
          <w:marTop w:val="0"/>
          <w:marBottom w:val="0"/>
          <w:divBdr>
            <w:top w:val="none" w:sz="0" w:space="0" w:color="auto"/>
            <w:left w:val="none" w:sz="0" w:space="0" w:color="auto"/>
            <w:bottom w:val="none" w:sz="0" w:space="0" w:color="auto"/>
            <w:right w:val="none" w:sz="0" w:space="0" w:color="auto"/>
          </w:divBdr>
        </w:div>
      </w:divsChild>
    </w:div>
    <w:div w:id="1137526877">
      <w:bodyDiv w:val="1"/>
      <w:marLeft w:val="0"/>
      <w:marRight w:val="0"/>
      <w:marTop w:val="0"/>
      <w:marBottom w:val="0"/>
      <w:divBdr>
        <w:top w:val="none" w:sz="0" w:space="0" w:color="auto"/>
        <w:left w:val="none" w:sz="0" w:space="0" w:color="auto"/>
        <w:bottom w:val="none" w:sz="0" w:space="0" w:color="auto"/>
        <w:right w:val="none" w:sz="0" w:space="0" w:color="auto"/>
      </w:divBdr>
    </w:div>
    <w:div w:id="1137918964">
      <w:bodyDiv w:val="1"/>
      <w:marLeft w:val="0"/>
      <w:marRight w:val="0"/>
      <w:marTop w:val="0"/>
      <w:marBottom w:val="0"/>
      <w:divBdr>
        <w:top w:val="none" w:sz="0" w:space="0" w:color="auto"/>
        <w:left w:val="none" w:sz="0" w:space="0" w:color="auto"/>
        <w:bottom w:val="none" w:sz="0" w:space="0" w:color="auto"/>
        <w:right w:val="none" w:sz="0" w:space="0" w:color="auto"/>
      </w:divBdr>
    </w:div>
    <w:div w:id="1148865354">
      <w:bodyDiv w:val="1"/>
      <w:marLeft w:val="0"/>
      <w:marRight w:val="0"/>
      <w:marTop w:val="0"/>
      <w:marBottom w:val="0"/>
      <w:divBdr>
        <w:top w:val="none" w:sz="0" w:space="0" w:color="auto"/>
        <w:left w:val="none" w:sz="0" w:space="0" w:color="auto"/>
        <w:bottom w:val="none" w:sz="0" w:space="0" w:color="auto"/>
        <w:right w:val="none" w:sz="0" w:space="0" w:color="auto"/>
      </w:divBdr>
    </w:div>
    <w:div w:id="1163275649">
      <w:bodyDiv w:val="1"/>
      <w:marLeft w:val="0"/>
      <w:marRight w:val="0"/>
      <w:marTop w:val="0"/>
      <w:marBottom w:val="0"/>
      <w:divBdr>
        <w:top w:val="none" w:sz="0" w:space="0" w:color="auto"/>
        <w:left w:val="none" w:sz="0" w:space="0" w:color="auto"/>
        <w:bottom w:val="none" w:sz="0" w:space="0" w:color="auto"/>
        <w:right w:val="none" w:sz="0" w:space="0" w:color="auto"/>
      </w:divBdr>
    </w:div>
    <w:div w:id="1170291632">
      <w:bodyDiv w:val="1"/>
      <w:marLeft w:val="0"/>
      <w:marRight w:val="0"/>
      <w:marTop w:val="0"/>
      <w:marBottom w:val="0"/>
      <w:divBdr>
        <w:top w:val="none" w:sz="0" w:space="0" w:color="auto"/>
        <w:left w:val="none" w:sz="0" w:space="0" w:color="auto"/>
        <w:bottom w:val="none" w:sz="0" w:space="0" w:color="auto"/>
        <w:right w:val="none" w:sz="0" w:space="0" w:color="auto"/>
      </w:divBdr>
    </w:div>
    <w:div w:id="1171216391">
      <w:bodyDiv w:val="1"/>
      <w:marLeft w:val="0"/>
      <w:marRight w:val="0"/>
      <w:marTop w:val="0"/>
      <w:marBottom w:val="0"/>
      <w:divBdr>
        <w:top w:val="none" w:sz="0" w:space="0" w:color="auto"/>
        <w:left w:val="none" w:sz="0" w:space="0" w:color="auto"/>
        <w:bottom w:val="none" w:sz="0" w:space="0" w:color="auto"/>
        <w:right w:val="none" w:sz="0" w:space="0" w:color="auto"/>
      </w:divBdr>
      <w:divsChild>
        <w:div w:id="938487">
          <w:marLeft w:val="0"/>
          <w:marRight w:val="0"/>
          <w:marTop w:val="15"/>
          <w:marBottom w:val="0"/>
          <w:divBdr>
            <w:top w:val="single" w:sz="48" w:space="0" w:color="auto"/>
            <w:left w:val="single" w:sz="48" w:space="0" w:color="auto"/>
            <w:bottom w:val="single" w:sz="48" w:space="0" w:color="auto"/>
            <w:right w:val="single" w:sz="48" w:space="0" w:color="auto"/>
          </w:divBdr>
          <w:divsChild>
            <w:div w:id="12375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6031">
      <w:bodyDiv w:val="1"/>
      <w:marLeft w:val="0"/>
      <w:marRight w:val="0"/>
      <w:marTop w:val="0"/>
      <w:marBottom w:val="0"/>
      <w:divBdr>
        <w:top w:val="none" w:sz="0" w:space="0" w:color="auto"/>
        <w:left w:val="none" w:sz="0" w:space="0" w:color="auto"/>
        <w:bottom w:val="none" w:sz="0" w:space="0" w:color="auto"/>
        <w:right w:val="none" w:sz="0" w:space="0" w:color="auto"/>
      </w:divBdr>
    </w:div>
    <w:div w:id="1176387383">
      <w:bodyDiv w:val="1"/>
      <w:marLeft w:val="0"/>
      <w:marRight w:val="0"/>
      <w:marTop w:val="0"/>
      <w:marBottom w:val="0"/>
      <w:divBdr>
        <w:top w:val="none" w:sz="0" w:space="0" w:color="auto"/>
        <w:left w:val="none" w:sz="0" w:space="0" w:color="auto"/>
        <w:bottom w:val="none" w:sz="0" w:space="0" w:color="auto"/>
        <w:right w:val="none" w:sz="0" w:space="0" w:color="auto"/>
      </w:divBdr>
    </w:div>
    <w:div w:id="1189485653">
      <w:bodyDiv w:val="1"/>
      <w:marLeft w:val="0"/>
      <w:marRight w:val="0"/>
      <w:marTop w:val="0"/>
      <w:marBottom w:val="0"/>
      <w:divBdr>
        <w:top w:val="none" w:sz="0" w:space="0" w:color="auto"/>
        <w:left w:val="none" w:sz="0" w:space="0" w:color="auto"/>
        <w:bottom w:val="none" w:sz="0" w:space="0" w:color="auto"/>
        <w:right w:val="none" w:sz="0" w:space="0" w:color="auto"/>
      </w:divBdr>
      <w:divsChild>
        <w:div w:id="427776651">
          <w:marLeft w:val="0"/>
          <w:marRight w:val="0"/>
          <w:marTop w:val="0"/>
          <w:marBottom w:val="0"/>
          <w:divBdr>
            <w:top w:val="none" w:sz="0" w:space="0" w:color="auto"/>
            <w:left w:val="none" w:sz="0" w:space="0" w:color="auto"/>
            <w:bottom w:val="none" w:sz="0" w:space="0" w:color="auto"/>
            <w:right w:val="none" w:sz="0" w:space="0" w:color="auto"/>
          </w:divBdr>
        </w:div>
        <w:div w:id="703091033">
          <w:marLeft w:val="0"/>
          <w:marRight w:val="0"/>
          <w:marTop w:val="0"/>
          <w:marBottom w:val="0"/>
          <w:divBdr>
            <w:top w:val="none" w:sz="0" w:space="0" w:color="auto"/>
            <w:left w:val="none" w:sz="0" w:space="0" w:color="auto"/>
            <w:bottom w:val="none" w:sz="0" w:space="0" w:color="auto"/>
            <w:right w:val="none" w:sz="0" w:space="0" w:color="auto"/>
          </w:divBdr>
        </w:div>
        <w:div w:id="943421704">
          <w:marLeft w:val="0"/>
          <w:marRight w:val="0"/>
          <w:marTop w:val="0"/>
          <w:marBottom w:val="0"/>
          <w:divBdr>
            <w:top w:val="none" w:sz="0" w:space="0" w:color="auto"/>
            <w:left w:val="none" w:sz="0" w:space="0" w:color="auto"/>
            <w:bottom w:val="none" w:sz="0" w:space="0" w:color="auto"/>
            <w:right w:val="none" w:sz="0" w:space="0" w:color="auto"/>
          </w:divBdr>
        </w:div>
        <w:div w:id="950670972">
          <w:marLeft w:val="0"/>
          <w:marRight w:val="0"/>
          <w:marTop w:val="0"/>
          <w:marBottom w:val="0"/>
          <w:divBdr>
            <w:top w:val="none" w:sz="0" w:space="0" w:color="auto"/>
            <w:left w:val="none" w:sz="0" w:space="0" w:color="auto"/>
            <w:bottom w:val="none" w:sz="0" w:space="0" w:color="auto"/>
            <w:right w:val="none" w:sz="0" w:space="0" w:color="auto"/>
          </w:divBdr>
        </w:div>
        <w:div w:id="1148325405">
          <w:marLeft w:val="0"/>
          <w:marRight w:val="0"/>
          <w:marTop w:val="0"/>
          <w:marBottom w:val="0"/>
          <w:divBdr>
            <w:top w:val="none" w:sz="0" w:space="0" w:color="auto"/>
            <w:left w:val="none" w:sz="0" w:space="0" w:color="auto"/>
            <w:bottom w:val="none" w:sz="0" w:space="0" w:color="auto"/>
            <w:right w:val="none" w:sz="0" w:space="0" w:color="auto"/>
          </w:divBdr>
        </w:div>
        <w:div w:id="1492676747">
          <w:marLeft w:val="0"/>
          <w:marRight w:val="0"/>
          <w:marTop w:val="0"/>
          <w:marBottom w:val="0"/>
          <w:divBdr>
            <w:top w:val="none" w:sz="0" w:space="0" w:color="auto"/>
            <w:left w:val="none" w:sz="0" w:space="0" w:color="auto"/>
            <w:bottom w:val="none" w:sz="0" w:space="0" w:color="auto"/>
            <w:right w:val="none" w:sz="0" w:space="0" w:color="auto"/>
          </w:divBdr>
        </w:div>
        <w:div w:id="1832330481">
          <w:marLeft w:val="0"/>
          <w:marRight w:val="0"/>
          <w:marTop w:val="0"/>
          <w:marBottom w:val="0"/>
          <w:divBdr>
            <w:top w:val="none" w:sz="0" w:space="0" w:color="auto"/>
            <w:left w:val="none" w:sz="0" w:space="0" w:color="auto"/>
            <w:bottom w:val="none" w:sz="0" w:space="0" w:color="auto"/>
            <w:right w:val="none" w:sz="0" w:space="0" w:color="auto"/>
          </w:divBdr>
        </w:div>
      </w:divsChild>
    </w:div>
    <w:div w:id="1201363737">
      <w:bodyDiv w:val="1"/>
      <w:marLeft w:val="0"/>
      <w:marRight w:val="0"/>
      <w:marTop w:val="0"/>
      <w:marBottom w:val="0"/>
      <w:divBdr>
        <w:top w:val="none" w:sz="0" w:space="0" w:color="auto"/>
        <w:left w:val="none" w:sz="0" w:space="0" w:color="auto"/>
        <w:bottom w:val="none" w:sz="0" w:space="0" w:color="auto"/>
        <w:right w:val="none" w:sz="0" w:space="0" w:color="auto"/>
      </w:divBdr>
      <w:divsChild>
        <w:div w:id="54206302">
          <w:marLeft w:val="0"/>
          <w:marRight w:val="0"/>
          <w:marTop w:val="0"/>
          <w:marBottom w:val="0"/>
          <w:divBdr>
            <w:top w:val="none" w:sz="0" w:space="0" w:color="auto"/>
            <w:left w:val="none" w:sz="0" w:space="0" w:color="auto"/>
            <w:bottom w:val="none" w:sz="0" w:space="0" w:color="auto"/>
            <w:right w:val="none" w:sz="0" w:space="0" w:color="auto"/>
          </w:divBdr>
        </w:div>
        <w:div w:id="698509646">
          <w:marLeft w:val="0"/>
          <w:marRight w:val="0"/>
          <w:marTop w:val="0"/>
          <w:marBottom w:val="0"/>
          <w:divBdr>
            <w:top w:val="none" w:sz="0" w:space="0" w:color="auto"/>
            <w:left w:val="none" w:sz="0" w:space="0" w:color="auto"/>
            <w:bottom w:val="none" w:sz="0" w:space="0" w:color="auto"/>
            <w:right w:val="none" w:sz="0" w:space="0" w:color="auto"/>
          </w:divBdr>
        </w:div>
        <w:div w:id="1443181252">
          <w:marLeft w:val="0"/>
          <w:marRight w:val="0"/>
          <w:marTop w:val="0"/>
          <w:marBottom w:val="0"/>
          <w:divBdr>
            <w:top w:val="none" w:sz="0" w:space="0" w:color="auto"/>
            <w:left w:val="none" w:sz="0" w:space="0" w:color="auto"/>
            <w:bottom w:val="none" w:sz="0" w:space="0" w:color="auto"/>
            <w:right w:val="none" w:sz="0" w:space="0" w:color="auto"/>
          </w:divBdr>
        </w:div>
        <w:div w:id="1525703882">
          <w:marLeft w:val="0"/>
          <w:marRight w:val="0"/>
          <w:marTop w:val="0"/>
          <w:marBottom w:val="0"/>
          <w:divBdr>
            <w:top w:val="none" w:sz="0" w:space="0" w:color="auto"/>
            <w:left w:val="none" w:sz="0" w:space="0" w:color="auto"/>
            <w:bottom w:val="none" w:sz="0" w:space="0" w:color="auto"/>
            <w:right w:val="none" w:sz="0" w:space="0" w:color="auto"/>
          </w:divBdr>
        </w:div>
        <w:div w:id="1939754322">
          <w:marLeft w:val="0"/>
          <w:marRight w:val="0"/>
          <w:marTop w:val="0"/>
          <w:marBottom w:val="0"/>
          <w:divBdr>
            <w:top w:val="none" w:sz="0" w:space="0" w:color="auto"/>
            <w:left w:val="none" w:sz="0" w:space="0" w:color="auto"/>
            <w:bottom w:val="none" w:sz="0" w:space="0" w:color="auto"/>
            <w:right w:val="none" w:sz="0" w:space="0" w:color="auto"/>
          </w:divBdr>
        </w:div>
        <w:div w:id="1959795554">
          <w:marLeft w:val="0"/>
          <w:marRight w:val="0"/>
          <w:marTop w:val="0"/>
          <w:marBottom w:val="0"/>
          <w:divBdr>
            <w:top w:val="none" w:sz="0" w:space="0" w:color="auto"/>
            <w:left w:val="none" w:sz="0" w:space="0" w:color="auto"/>
            <w:bottom w:val="none" w:sz="0" w:space="0" w:color="auto"/>
            <w:right w:val="none" w:sz="0" w:space="0" w:color="auto"/>
          </w:divBdr>
        </w:div>
        <w:div w:id="2123263010">
          <w:marLeft w:val="0"/>
          <w:marRight w:val="0"/>
          <w:marTop w:val="0"/>
          <w:marBottom w:val="0"/>
          <w:divBdr>
            <w:top w:val="none" w:sz="0" w:space="0" w:color="auto"/>
            <w:left w:val="none" w:sz="0" w:space="0" w:color="auto"/>
            <w:bottom w:val="none" w:sz="0" w:space="0" w:color="auto"/>
            <w:right w:val="none" w:sz="0" w:space="0" w:color="auto"/>
          </w:divBdr>
        </w:div>
      </w:divsChild>
    </w:div>
    <w:div w:id="1210218212">
      <w:bodyDiv w:val="1"/>
      <w:marLeft w:val="0"/>
      <w:marRight w:val="0"/>
      <w:marTop w:val="0"/>
      <w:marBottom w:val="0"/>
      <w:divBdr>
        <w:top w:val="none" w:sz="0" w:space="0" w:color="auto"/>
        <w:left w:val="none" w:sz="0" w:space="0" w:color="auto"/>
        <w:bottom w:val="none" w:sz="0" w:space="0" w:color="auto"/>
        <w:right w:val="none" w:sz="0" w:space="0" w:color="auto"/>
      </w:divBdr>
    </w:div>
    <w:div w:id="1221163402">
      <w:bodyDiv w:val="1"/>
      <w:marLeft w:val="0"/>
      <w:marRight w:val="0"/>
      <w:marTop w:val="0"/>
      <w:marBottom w:val="0"/>
      <w:divBdr>
        <w:top w:val="none" w:sz="0" w:space="0" w:color="auto"/>
        <w:left w:val="none" w:sz="0" w:space="0" w:color="auto"/>
        <w:bottom w:val="none" w:sz="0" w:space="0" w:color="auto"/>
        <w:right w:val="none" w:sz="0" w:space="0" w:color="auto"/>
      </w:divBdr>
    </w:div>
    <w:div w:id="1226259147">
      <w:bodyDiv w:val="1"/>
      <w:marLeft w:val="0"/>
      <w:marRight w:val="0"/>
      <w:marTop w:val="0"/>
      <w:marBottom w:val="0"/>
      <w:divBdr>
        <w:top w:val="none" w:sz="0" w:space="0" w:color="auto"/>
        <w:left w:val="none" w:sz="0" w:space="0" w:color="auto"/>
        <w:bottom w:val="none" w:sz="0" w:space="0" w:color="auto"/>
        <w:right w:val="none" w:sz="0" w:space="0" w:color="auto"/>
      </w:divBdr>
    </w:div>
    <w:div w:id="1237788161">
      <w:bodyDiv w:val="1"/>
      <w:marLeft w:val="0"/>
      <w:marRight w:val="0"/>
      <w:marTop w:val="0"/>
      <w:marBottom w:val="0"/>
      <w:divBdr>
        <w:top w:val="none" w:sz="0" w:space="0" w:color="auto"/>
        <w:left w:val="none" w:sz="0" w:space="0" w:color="auto"/>
        <w:bottom w:val="none" w:sz="0" w:space="0" w:color="auto"/>
        <w:right w:val="none" w:sz="0" w:space="0" w:color="auto"/>
      </w:divBdr>
    </w:div>
    <w:div w:id="1264221950">
      <w:bodyDiv w:val="1"/>
      <w:marLeft w:val="0"/>
      <w:marRight w:val="0"/>
      <w:marTop w:val="0"/>
      <w:marBottom w:val="0"/>
      <w:divBdr>
        <w:top w:val="none" w:sz="0" w:space="0" w:color="auto"/>
        <w:left w:val="none" w:sz="0" w:space="0" w:color="auto"/>
        <w:bottom w:val="none" w:sz="0" w:space="0" w:color="auto"/>
        <w:right w:val="none" w:sz="0" w:space="0" w:color="auto"/>
      </w:divBdr>
    </w:div>
    <w:div w:id="1265069045">
      <w:bodyDiv w:val="1"/>
      <w:marLeft w:val="0"/>
      <w:marRight w:val="0"/>
      <w:marTop w:val="0"/>
      <w:marBottom w:val="0"/>
      <w:divBdr>
        <w:top w:val="none" w:sz="0" w:space="0" w:color="auto"/>
        <w:left w:val="none" w:sz="0" w:space="0" w:color="auto"/>
        <w:bottom w:val="none" w:sz="0" w:space="0" w:color="auto"/>
        <w:right w:val="none" w:sz="0" w:space="0" w:color="auto"/>
      </w:divBdr>
    </w:div>
    <w:div w:id="1267346476">
      <w:bodyDiv w:val="1"/>
      <w:marLeft w:val="0"/>
      <w:marRight w:val="0"/>
      <w:marTop w:val="0"/>
      <w:marBottom w:val="0"/>
      <w:divBdr>
        <w:top w:val="none" w:sz="0" w:space="0" w:color="auto"/>
        <w:left w:val="none" w:sz="0" w:space="0" w:color="auto"/>
        <w:bottom w:val="none" w:sz="0" w:space="0" w:color="auto"/>
        <w:right w:val="none" w:sz="0" w:space="0" w:color="auto"/>
      </w:divBdr>
    </w:div>
    <w:div w:id="1270698235">
      <w:bodyDiv w:val="1"/>
      <w:marLeft w:val="0"/>
      <w:marRight w:val="0"/>
      <w:marTop w:val="0"/>
      <w:marBottom w:val="0"/>
      <w:divBdr>
        <w:top w:val="none" w:sz="0" w:space="0" w:color="auto"/>
        <w:left w:val="none" w:sz="0" w:space="0" w:color="auto"/>
        <w:bottom w:val="none" w:sz="0" w:space="0" w:color="auto"/>
        <w:right w:val="none" w:sz="0" w:space="0" w:color="auto"/>
      </w:divBdr>
    </w:div>
    <w:div w:id="1298685767">
      <w:bodyDiv w:val="1"/>
      <w:marLeft w:val="0"/>
      <w:marRight w:val="0"/>
      <w:marTop w:val="0"/>
      <w:marBottom w:val="0"/>
      <w:divBdr>
        <w:top w:val="none" w:sz="0" w:space="0" w:color="auto"/>
        <w:left w:val="none" w:sz="0" w:space="0" w:color="auto"/>
        <w:bottom w:val="none" w:sz="0" w:space="0" w:color="auto"/>
        <w:right w:val="none" w:sz="0" w:space="0" w:color="auto"/>
      </w:divBdr>
    </w:div>
    <w:div w:id="1305693356">
      <w:bodyDiv w:val="1"/>
      <w:marLeft w:val="0"/>
      <w:marRight w:val="0"/>
      <w:marTop w:val="0"/>
      <w:marBottom w:val="0"/>
      <w:divBdr>
        <w:top w:val="none" w:sz="0" w:space="0" w:color="auto"/>
        <w:left w:val="none" w:sz="0" w:space="0" w:color="auto"/>
        <w:bottom w:val="none" w:sz="0" w:space="0" w:color="auto"/>
        <w:right w:val="none" w:sz="0" w:space="0" w:color="auto"/>
      </w:divBdr>
    </w:div>
    <w:div w:id="1306814453">
      <w:bodyDiv w:val="1"/>
      <w:marLeft w:val="0"/>
      <w:marRight w:val="0"/>
      <w:marTop w:val="0"/>
      <w:marBottom w:val="0"/>
      <w:divBdr>
        <w:top w:val="none" w:sz="0" w:space="0" w:color="auto"/>
        <w:left w:val="none" w:sz="0" w:space="0" w:color="auto"/>
        <w:bottom w:val="none" w:sz="0" w:space="0" w:color="auto"/>
        <w:right w:val="none" w:sz="0" w:space="0" w:color="auto"/>
      </w:divBdr>
    </w:div>
    <w:div w:id="1308321110">
      <w:bodyDiv w:val="1"/>
      <w:marLeft w:val="0"/>
      <w:marRight w:val="0"/>
      <w:marTop w:val="0"/>
      <w:marBottom w:val="0"/>
      <w:divBdr>
        <w:top w:val="none" w:sz="0" w:space="0" w:color="auto"/>
        <w:left w:val="none" w:sz="0" w:space="0" w:color="auto"/>
        <w:bottom w:val="none" w:sz="0" w:space="0" w:color="auto"/>
        <w:right w:val="none" w:sz="0" w:space="0" w:color="auto"/>
      </w:divBdr>
    </w:div>
    <w:div w:id="1309018544">
      <w:bodyDiv w:val="1"/>
      <w:marLeft w:val="0"/>
      <w:marRight w:val="0"/>
      <w:marTop w:val="0"/>
      <w:marBottom w:val="0"/>
      <w:divBdr>
        <w:top w:val="none" w:sz="0" w:space="0" w:color="auto"/>
        <w:left w:val="none" w:sz="0" w:space="0" w:color="auto"/>
        <w:bottom w:val="none" w:sz="0" w:space="0" w:color="auto"/>
        <w:right w:val="none" w:sz="0" w:space="0" w:color="auto"/>
      </w:divBdr>
    </w:div>
    <w:div w:id="1319844102">
      <w:bodyDiv w:val="1"/>
      <w:marLeft w:val="0"/>
      <w:marRight w:val="0"/>
      <w:marTop w:val="0"/>
      <w:marBottom w:val="0"/>
      <w:divBdr>
        <w:top w:val="none" w:sz="0" w:space="0" w:color="auto"/>
        <w:left w:val="none" w:sz="0" w:space="0" w:color="auto"/>
        <w:bottom w:val="none" w:sz="0" w:space="0" w:color="auto"/>
        <w:right w:val="none" w:sz="0" w:space="0" w:color="auto"/>
      </w:divBdr>
    </w:div>
    <w:div w:id="1327979130">
      <w:bodyDiv w:val="1"/>
      <w:marLeft w:val="0"/>
      <w:marRight w:val="0"/>
      <w:marTop w:val="0"/>
      <w:marBottom w:val="0"/>
      <w:divBdr>
        <w:top w:val="none" w:sz="0" w:space="0" w:color="auto"/>
        <w:left w:val="none" w:sz="0" w:space="0" w:color="auto"/>
        <w:bottom w:val="none" w:sz="0" w:space="0" w:color="auto"/>
        <w:right w:val="none" w:sz="0" w:space="0" w:color="auto"/>
      </w:divBdr>
    </w:div>
    <w:div w:id="1329135677">
      <w:bodyDiv w:val="1"/>
      <w:marLeft w:val="0"/>
      <w:marRight w:val="0"/>
      <w:marTop w:val="0"/>
      <w:marBottom w:val="0"/>
      <w:divBdr>
        <w:top w:val="none" w:sz="0" w:space="0" w:color="auto"/>
        <w:left w:val="none" w:sz="0" w:space="0" w:color="auto"/>
        <w:bottom w:val="none" w:sz="0" w:space="0" w:color="auto"/>
        <w:right w:val="none" w:sz="0" w:space="0" w:color="auto"/>
      </w:divBdr>
      <w:divsChild>
        <w:div w:id="535847454">
          <w:marLeft w:val="0"/>
          <w:marRight w:val="0"/>
          <w:marTop w:val="0"/>
          <w:marBottom w:val="0"/>
          <w:divBdr>
            <w:top w:val="none" w:sz="0" w:space="0" w:color="auto"/>
            <w:left w:val="none" w:sz="0" w:space="0" w:color="auto"/>
            <w:bottom w:val="none" w:sz="0" w:space="0" w:color="auto"/>
            <w:right w:val="none" w:sz="0" w:space="0" w:color="auto"/>
          </w:divBdr>
        </w:div>
        <w:div w:id="559481517">
          <w:marLeft w:val="0"/>
          <w:marRight w:val="0"/>
          <w:marTop w:val="0"/>
          <w:marBottom w:val="0"/>
          <w:divBdr>
            <w:top w:val="none" w:sz="0" w:space="0" w:color="auto"/>
            <w:left w:val="none" w:sz="0" w:space="0" w:color="auto"/>
            <w:bottom w:val="none" w:sz="0" w:space="0" w:color="auto"/>
            <w:right w:val="none" w:sz="0" w:space="0" w:color="auto"/>
          </w:divBdr>
        </w:div>
        <w:div w:id="1075009580">
          <w:marLeft w:val="0"/>
          <w:marRight w:val="0"/>
          <w:marTop w:val="0"/>
          <w:marBottom w:val="0"/>
          <w:divBdr>
            <w:top w:val="none" w:sz="0" w:space="0" w:color="auto"/>
            <w:left w:val="none" w:sz="0" w:space="0" w:color="auto"/>
            <w:bottom w:val="none" w:sz="0" w:space="0" w:color="auto"/>
            <w:right w:val="none" w:sz="0" w:space="0" w:color="auto"/>
          </w:divBdr>
        </w:div>
        <w:div w:id="1545142426">
          <w:marLeft w:val="0"/>
          <w:marRight w:val="0"/>
          <w:marTop w:val="0"/>
          <w:marBottom w:val="0"/>
          <w:divBdr>
            <w:top w:val="none" w:sz="0" w:space="0" w:color="auto"/>
            <w:left w:val="none" w:sz="0" w:space="0" w:color="auto"/>
            <w:bottom w:val="none" w:sz="0" w:space="0" w:color="auto"/>
            <w:right w:val="none" w:sz="0" w:space="0" w:color="auto"/>
          </w:divBdr>
        </w:div>
      </w:divsChild>
    </w:div>
    <w:div w:id="1368679369">
      <w:bodyDiv w:val="1"/>
      <w:marLeft w:val="0"/>
      <w:marRight w:val="0"/>
      <w:marTop w:val="0"/>
      <w:marBottom w:val="0"/>
      <w:divBdr>
        <w:top w:val="none" w:sz="0" w:space="0" w:color="auto"/>
        <w:left w:val="none" w:sz="0" w:space="0" w:color="auto"/>
        <w:bottom w:val="none" w:sz="0" w:space="0" w:color="auto"/>
        <w:right w:val="none" w:sz="0" w:space="0" w:color="auto"/>
      </w:divBdr>
    </w:div>
    <w:div w:id="1394304827">
      <w:bodyDiv w:val="1"/>
      <w:marLeft w:val="0"/>
      <w:marRight w:val="0"/>
      <w:marTop w:val="0"/>
      <w:marBottom w:val="0"/>
      <w:divBdr>
        <w:top w:val="none" w:sz="0" w:space="0" w:color="auto"/>
        <w:left w:val="none" w:sz="0" w:space="0" w:color="auto"/>
        <w:bottom w:val="none" w:sz="0" w:space="0" w:color="auto"/>
        <w:right w:val="none" w:sz="0" w:space="0" w:color="auto"/>
      </w:divBdr>
    </w:div>
    <w:div w:id="1402555356">
      <w:bodyDiv w:val="1"/>
      <w:marLeft w:val="0"/>
      <w:marRight w:val="0"/>
      <w:marTop w:val="0"/>
      <w:marBottom w:val="0"/>
      <w:divBdr>
        <w:top w:val="none" w:sz="0" w:space="0" w:color="auto"/>
        <w:left w:val="none" w:sz="0" w:space="0" w:color="auto"/>
        <w:bottom w:val="none" w:sz="0" w:space="0" w:color="auto"/>
        <w:right w:val="none" w:sz="0" w:space="0" w:color="auto"/>
      </w:divBdr>
    </w:div>
    <w:div w:id="1414743559">
      <w:bodyDiv w:val="1"/>
      <w:marLeft w:val="0"/>
      <w:marRight w:val="0"/>
      <w:marTop w:val="0"/>
      <w:marBottom w:val="0"/>
      <w:divBdr>
        <w:top w:val="none" w:sz="0" w:space="0" w:color="auto"/>
        <w:left w:val="none" w:sz="0" w:space="0" w:color="auto"/>
        <w:bottom w:val="none" w:sz="0" w:space="0" w:color="auto"/>
        <w:right w:val="none" w:sz="0" w:space="0" w:color="auto"/>
      </w:divBdr>
    </w:div>
    <w:div w:id="1417941249">
      <w:bodyDiv w:val="1"/>
      <w:marLeft w:val="0"/>
      <w:marRight w:val="0"/>
      <w:marTop w:val="0"/>
      <w:marBottom w:val="0"/>
      <w:divBdr>
        <w:top w:val="none" w:sz="0" w:space="0" w:color="auto"/>
        <w:left w:val="none" w:sz="0" w:space="0" w:color="auto"/>
        <w:bottom w:val="none" w:sz="0" w:space="0" w:color="auto"/>
        <w:right w:val="none" w:sz="0" w:space="0" w:color="auto"/>
      </w:divBdr>
      <w:divsChild>
        <w:div w:id="135227241">
          <w:marLeft w:val="0"/>
          <w:marRight w:val="0"/>
          <w:marTop w:val="0"/>
          <w:marBottom w:val="0"/>
          <w:divBdr>
            <w:top w:val="none" w:sz="0" w:space="0" w:color="auto"/>
            <w:left w:val="none" w:sz="0" w:space="0" w:color="auto"/>
            <w:bottom w:val="none" w:sz="0" w:space="0" w:color="auto"/>
            <w:right w:val="none" w:sz="0" w:space="0" w:color="auto"/>
          </w:divBdr>
        </w:div>
        <w:div w:id="194197913">
          <w:marLeft w:val="0"/>
          <w:marRight w:val="0"/>
          <w:marTop w:val="0"/>
          <w:marBottom w:val="0"/>
          <w:divBdr>
            <w:top w:val="none" w:sz="0" w:space="0" w:color="auto"/>
            <w:left w:val="none" w:sz="0" w:space="0" w:color="auto"/>
            <w:bottom w:val="none" w:sz="0" w:space="0" w:color="auto"/>
            <w:right w:val="none" w:sz="0" w:space="0" w:color="auto"/>
          </w:divBdr>
        </w:div>
        <w:div w:id="501166905">
          <w:marLeft w:val="0"/>
          <w:marRight w:val="0"/>
          <w:marTop w:val="0"/>
          <w:marBottom w:val="0"/>
          <w:divBdr>
            <w:top w:val="none" w:sz="0" w:space="0" w:color="auto"/>
            <w:left w:val="none" w:sz="0" w:space="0" w:color="auto"/>
            <w:bottom w:val="none" w:sz="0" w:space="0" w:color="auto"/>
            <w:right w:val="none" w:sz="0" w:space="0" w:color="auto"/>
          </w:divBdr>
        </w:div>
        <w:div w:id="793406518">
          <w:marLeft w:val="0"/>
          <w:marRight w:val="0"/>
          <w:marTop w:val="0"/>
          <w:marBottom w:val="0"/>
          <w:divBdr>
            <w:top w:val="none" w:sz="0" w:space="0" w:color="auto"/>
            <w:left w:val="none" w:sz="0" w:space="0" w:color="auto"/>
            <w:bottom w:val="none" w:sz="0" w:space="0" w:color="auto"/>
            <w:right w:val="none" w:sz="0" w:space="0" w:color="auto"/>
          </w:divBdr>
        </w:div>
        <w:div w:id="819691198">
          <w:marLeft w:val="0"/>
          <w:marRight w:val="0"/>
          <w:marTop w:val="0"/>
          <w:marBottom w:val="0"/>
          <w:divBdr>
            <w:top w:val="none" w:sz="0" w:space="0" w:color="auto"/>
            <w:left w:val="none" w:sz="0" w:space="0" w:color="auto"/>
            <w:bottom w:val="none" w:sz="0" w:space="0" w:color="auto"/>
            <w:right w:val="none" w:sz="0" w:space="0" w:color="auto"/>
          </w:divBdr>
        </w:div>
        <w:div w:id="890730234">
          <w:marLeft w:val="0"/>
          <w:marRight w:val="0"/>
          <w:marTop w:val="0"/>
          <w:marBottom w:val="0"/>
          <w:divBdr>
            <w:top w:val="none" w:sz="0" w:space="0" w:color="auto"/>
            <w:left w:val="none" w:sz="0" w:space="0" w:color="auto"/>
            <w:bottom w:val="none" w:sz="0" w:space="0" w:color="auto"/>
            <w:right w:val="none" w:sz="0" w:space="0" w:color="auto"/>
          </w:divBdr>
        </w:div>
        <w:div w:id="923609849">
          <w:marLeft w:val="0"/>
          <w:marRight w:val="0"/>
          <w:marTop w:val="0"/>
          <w:marBottom w:val="0"/>
          <w:divBdr>
            <w:top w:val="none" w:sz="0" w:space="0" w:color="auto"/>
            <w:left w:val="none" w:sz="0" w:space="0" w:color="auto"/>
            <w:bottom w:val="none" w:sz="0" w:space="0" w:color="auto"/>
            <w:right w:val="none" w:sz="0" w:space="0" w:color="auto"/>
          </w:divBdr>
        </w:div>
        <w:div w:id="927890410">
          <w:marLeft w:val="0"/>
          <w:marRight w:val="0"/>
          <w:marTop w:val="0"/>
          <w:marBottom w:val="0"/>
          <w:divBdr>
            <w:top w:val="none" w:sz="0" w:space="0" w:color="auto"/>
            <w:left w:val="none" w:sz="0" w:space="0" w:color="auto"/>
            <w:bottom w:val="none" w:sz="0" w:space="0" w:color="auto"/>
            <w:right w:val="none" w:sz="0" w:space="0" w:color="auto"/>
          </w:divBdr>
        </w:div>
        <w:div w:id="976183846">
          <w:marLeft w:val="0"/>
          <w:marRight w:val="0"/>
          <w:marTop w:val="0"/>
          <w:marBottom w:val="0"/>
          <w:divBdr>
            <w:top w:val="none" w:sz="0" w:space="0" w:color="auto"/>
            <w:left w:val="none" w:sz="0" w:space="0" w:color="auto"/>
            <w:bottom w:val="none" w:sz="0" w:space="0" w:color="auto"/>
            <w:right w:val="none" w:sz="0" w:space="0" w:color="auto"/>
          </w:divBdr>
        </w:div>
        <w:div w:id="1329020854">
          <w:marLeft w:val="0"/>
          <w:marRight w:val="0"/>
          <w:marTop w:val="0"/>
          <w:marBottom w:val="0"/>
          <w:divBdr>
            <w:top w:val="none" w:sz="0" w:space="0" w:color="auto"/>
            <w:left w:val="none" w:sz="0" w:space="0" w:color="auto"/>
            <w:bottom w:val="none" w:sz="0" w:space="0" w:color="auto"/>
            <w:right w:val="none" w:sz="0" w:space="0" w:color="auto"/>
          </w:divBdr>
        </w:div>
        <w:div w:id="1414159135">
          <w:marLeft w:val="0"/>
          <w:marRight w:val="0"/>
          <w:marTop w:val="0"/>
          <w:marBottom w:val="0"/>
          <w:divBdr>
            <w:top w:val="none" w:sz="0" w:space="0" w:color="auto"/>
            <w:left w:val="none" w:sz="0" w:space="0" w:color="auto"/>
            <w:bottom w:val="none" w:sz="0" w:space="0" w:color="auto"/>
            <w:right w:val="none" w:sz="0" w:space="0" w:color="auto"/>
          </w:divBdr>
        </w:div>
        <w:div w:id="1563446758">
          <w:marLeft w:val="0"/>
          <w:marRight w:val="0"/>
          <w:marTop w:val="0"/>
          <w:marBottom w:val="0"/>
          <w:divBdr>
            <w:top w:val="none" w:sz="0" w:space="0" w:color="auto"/>
            <w:left w:val="none" w:sz="0" w:space="0" w:color="auto"/>
            <w:bottom w:val="none" w:sz="0" w:space="0" w:color="auto"/>
            <w:right w:val="none" w:sz="0" w:space="0" w:color="auto"/>
          </w:divBdr>
        </w:div>
        <w:div w:id="1576474341">
          <w:marLeft w:val="0"/>
          <w:marRight w:val="0"/>
          <w:marTop w:val="0"/>
          <w:marBottom w:val="0"/>
          <w:divBdr>
            <w:top w:val="none" w:sz="0" w:space="0" w:color="auto"/>
            <w:left w:val="none" w:sz="0" w:space="0" w:color="auto"/>
            <w:bottom w:val="none" w:sz="0" w:space="0" w:color="auto"/>
            <w:right w:val="none" w:sz="0" w:space="0" w:color="auto"/>
          </w:divBdr>
        </w:div>
        <w:div w:id="1596789139">
          <w:marLeft w:val="0"/>
          <w:marRight w:val="0"/>
          <w:marTop w:val="0"/>
          <w:marBottom w:val="0"/>
          <w:divBdr>
            <w:top w:val="none" w:sz="0" w:space="0" w:color="auto"/>
            <w:left w:val="none" w:sz="0" w:space="0" w:color="auto"/>
            <w:bottom w:val="none" w:sz="0" w:space="0" w:color="auto"/>
            <w:right w:val="none" w:sz="0" w:space="0" w:color="auto"/>
          </w:divBdr>
        </w:div>
        <w:div w:id="1655907960">
          <w:marLeft w:val="0"/>
          <w:marRight w:val="0"/>
          <w:marTop w:val="0"/>
          <w:marBottom w:val="0"/>
          <w:divBdr>
            <w:top w:val="none" w:sz="0" w:space="0" w:color="auto"/>
            <w:left w:val="none" w:sz="0" w:space="0" w:color="auto"/>
            <w:bottom w:val="none" w:sz="0" w:space="0" w:color="auto"/>
            <w:right w:val="none" w:sz="0" w:space="0" w:color="auto"/>
          </w:divBdr>
        </w:div>
        <w:div w:id="1731688666">
          <w:marLeft w:val="0"/>
          <w:marRight w:val="0"/>
          <w:marTop w:val="0"/>
          <w:marBottom w:val="0"/>
          <w:divBdr>
            <w:top w:val="none" w:sz="0" w:space="0" w:color="auto"/>
            <w:left w:val="none" w:sz="0" w:space="0" w:color="auto"/>
            <w:bottom w:val="none" w:sz="0" w:space="0" w:color="auto"/>
            <w:right w:val="none" w:sz="0" w:space="0" w:color="auto"/>
          </w:divBdr>
        </w:div>
        <w:div w:id="2024671734">
          <w:marLeft w:val="0"/>
          <w:marRight w:val="0"/>
          <w:marTop w:val="0"/>
          <w:marBottom w:val="0"/>
          <w:divBdr>
            <w:top w:val="none" w:sz="0" w:space="0" w:color="auto"/>
            <w:left w:val="none" w:sz="0" w:space="0" w:color="auto"/>
            <w:bottom w:val="none" w:sz="0" w:space="0" w:color="auto"/>
            <w:right w:val="none" w:sz="0" w:space="0" w:color="auto"/>
          </w:divBdr>
        </w:div>
        <w:div w:id="2030909442">
          <w:marLeft w:val="0"/>
          <w:marRight w:val="0"/>
          <w:marTop w:val="0"/>
          <w:marBottom w:val="0"/>
          <w:divBdr>
            <w:top w:val="none" w:sz="0" w:space="0" w:color="auto"/>
            <w:left w:val="none" w:sz="0" w:space="0" w:color="auto"/>
            <w:bottom w:val="none" w:sz="0" w:space="0" w:color="auto"/>
            <w:right w:val="none" w:sz="0" w:space="0" w:color="auto"/>
          </w:divBdr>
        </w:div>
      </w:divsChild>
    </w:div>
    <w:div w:id="1426537730">
      <w:bodyDiv w:val="1"/>
      <w:marLeft w:val="0"/>
      <w:marRight w:val="0"/>
      <w:marTop w:val="0"/>
      <w:marBottom w:val="0"/>
      <w:divBdr>
        <w:top w:val="none" w:sz="0" w:space="0" w:color="auto"/>
        <w:left w:val="none" w:sz="0" w:space="0" w:color="auto"/>
        <w:bottom w:val="none" w:sz="0" w:space="0" w:color="auto"/>
        <w:right w:val="none" w:sz="0" w:space="0" w:color="auto"/>
      </w:divBdr>
    </w:div>
    <w:div w:id="1439178524">
      <w:bodyDiv w:val="1"/>
      <w:marLeft w:val="0"/>
      <w:marRight w:val="0"/>
      <w:marTop w:val="0"/>
      <w:marBottom w:val="0"/>
      <w:divBdr>
        <w:top w:val="none" w:sz="0" w:space="0" w:color="auto"/>
        <w:left w:val="none" w:sz="0" w:space="0" w:color="auto"/>
        <w:bottom w:val="none" w:sz="0" w:space="0" w:color="auto"/>
        <w:right w:val="none" w:sz="0" w:space="0" w:color="auto"/>
      </w:divBdr>
    </w:div>
    <w:div w:id="1456174776">
      <w:bodyDiv w:val="1"/>
      <w:marLeft w:val="0"/>
      <w:marRight w:val="0"/>
      <w:marTop w:val="0"/>
      <w:marBottom w:val="0"/>
      <w:divBdr>
        <w:top w:val="none" w:sz="0" w:space="0" w:color="auto"/>
        <w:left w:val="none" w:sz="0" w:space="0" w:color="auto"/>
        <w:bottom w:val="none" w:sz="0" w:space="0" w:color="auto"/>
        <w:right w:val="none" w:sz="0" w:space="0" w:color="auto"/>
      </w:divBdr>
      <w:divsChild>
        <w:div w:id="4787227">
          <w:marLeft w:val="0"/>
          <w:marRight w:val="0"/>
          <w:marTop w:val="0"/>
          <w:marBottom w:val="0"/>
          <w:divBdr>
            <w:top w:val="none" w:sz="0" w:space="0" w:color="auto"/>
            <w:left w:val="none" w:sz="0" w:space="0" w:color="auto"/>
            <w:bottom w:val="none" w:sz="0" w:space="0" w:color="auto"/>
            <w:right w:val="none" w:sz="0" w:space="0" w:color="auto"/>
          </w:divBdr>
        </w:div>
        <w:div w:id="532692030">
          <w:marLeft w:val="0"/>
          <w:marRight w:val="0"/>
          <w:marTop w:val="0"/>
          <w:marBottom w:val="0"/>
          <w:divBdr>
            <w:top w:val="none" w:sz="0" w:space="0" w:color="auto"/>
            <w:left w:val="none" w:sz="0" w:space="0" w:color="auto"/>
            <w:bottom w:val="none" w:sz="0" w:space="0" w:color="auto"/>
            <w:right w:val="none" w:sz="0" w:space="0" w:color="auto"/>
          </w:divBdr>
        </w:div>
        <w:div w:id="543716161">
          <w:marLeft w:val="0"/>
          <w:marRight w:val="0"/>
          <w:marTop w:val="0"/>
          <w:marBottom w:val="0"/>
          <w:divBdr>
            <w:top w:val="none" w:sz="0" w:space="0" w:color="auto"/>
            <w:left w:val="none" w:sz="0" w:space="0" w:color="auto"/>
            <w:bottom w:val="none" w:sz="0" w:space="0" w:color="auto"/>
            <w:right w:val="none" w:sz="0" w:space="0" w:color="auto"/>
          </w:divBdr>
        </w:div>
        <w:div w:id="640378643">
          <w:marLeft w:val="0"/>
          <w:marRight w:val="0"/>
          <w:marTop w:val="0"/>
          <w:marBottom w:val="0"/>
          <w:divBdr>
            <w:top w:val="none" w:sz="0" w:space="0" w:color="auto"/>
            <w:left w:val="none" w:sz="0" w:space="0" w:color="auto"/>
            <w:bottom w:val="none" w:sz="0" w:space="0" w:color="auto"/>
            <w:right w:val="none" w:sz="0" w:space="0" w:color="auto"/>
          </w:divBdr>
        </w:div>
        <w:div w:id="900362649">
          <w:marLeft w:val="0"/>
          <w:marRight w:val="0"/>
          <w:marTop w:val="0"/>
          <w:marBottom w:val="0"/>
          <w:divBdr>
            <w:top w:val="none" w:sz="0" w:space="0" w:color="auto"/>
            <w:left w:val="none" w:sz="0" w:space="0" w:color="auto"/>
            <w:bottom w:val="none" w:sz="0" w:space="0" w:color="auto"/>
            <w:right w:val="none" w:sz="0" w:space="0" w:color="auto"/>
          </w:divBdr>
        </w:div>
        <w:div w:id="1106996270">
          <w:marLeft w:val="0"/>
          <w:marRight w:val="0"/>
          <w:marTop w:val="0"/>
          <w:marBottom w:val="0"/>
          <w:divBdr>
            <w:top w:val="none" w:sz="0" w:space="0" w:color="auto"/>
            <w:left w:val="none" w:sz="0" w:space="0" w:color="auto"/>
            <w:bottom w:val="none" w:sz="0" w:space="0" w:color="auto"/>
            <w:right w:val="none" w:sz="0" w:space="0" w:color="auto"/>
          </w:divBdr>
        </w:div>
        <w:div w:id="1219630949">
          <w:marLeft w:val="0"/>
          <w:marRight w:val="0"/>
          <w:marTop w:val="0"/>
          <w:marBottom w:val="0"/>
          <w:divBdr>
            <w:top w:val="none" w:sz="0" w:space="0" w:color="auto"/>
            <w:left w:val="none" w:sz="0" w:space="0" w:color="auto"/>
            <w:bottom w:val="none" w:sz="0" w:space="0" w:color="auto"/>
            <w:right w:val="none" w:sz="0" w:space="0" w:color="auto"/>
          </w:divBdr>
        </w:div>
        <w:div w:id="1569657059">
          <w:marLeft w:val="0"/>
          <w:marRight w:val="0"/>
          <w:marTop w:val="0"/>
          <w:marBottom w:val="0"/>
          <w:divBdr>
            <w:top w:val="none" w:sz="0" w:space="0" w:color="auto"/>
            <w:left w:val="none" w:sz="0" w:space="0" w:color="auto"/>
            <w:bottom w:val="none" w:sz="0" w:space="0" w:color="auto"/>
            <w:right w:val="none" w:sz="0" w:space="0" w:color="auto"/>
          </w:divBdr>
        </w:div>
        <w:div w:id="1602643506">
          <w:marLeft w:val="0"/>
          <w:marRight w:val="0"/>
          <w:marTop w:val="0"/>
          <w:marBottom w:val="0"/>
          <w:divBdr>
            <w:top w:val="none" w:sz="0" w:space="0" w:color="auto"/>
            <w:left w:val="none" w:sz="0" w:space="0" w:color="auto"/>
            <w:bottom w:val="none" w:sz="0" w:space="0" w:color="auto"/>
            <w:right w:val="none" w:sz="0" w:space="0" w:color="auto"/>
          </w:divBdr>
        </w:div>
        <w:div w:id="1703624954">
          <w:marLeft w:val="0"/>
          <w:marRight w:val="0"/>
          <w:marTop w:val="0"/>
          <w:marBottom w:val="0"/>
          <w:divBdr>
            <w:top w:val="none" w:sz="0" w:space="0" w:color="auto"/>
            <w:left w:val="none" w:sz="0" w:space="0" w:color="auto"/>
            <w:bottom w:val="none" w:sz="0" w:space="0" w:color="auto"/>
            <w:right w:val="none" w:sz="0" w:space="0" w:color="auto"/>
          </w:divBdr>
        </w:div>
        <w:div w:id="1809322489">
          <w:marLeft w:val="0"/>
          <w:marRight w:val="0"/>
          <w:marTop w:val="0"/>
          <w:marBottom w:val="0"/>
          <w:divBdr>
            <w:top w:val="none" w:sz="0" w:space="0" w:color="auto"/>
            <w:left w:val="none" w:sz="0" w:space="0" w:color="auto"/>
            <w:bottom w:val="none" w:sz="0" w:space="0" w:color="auto"/>
            <w:right w:val="none" w:sz="0" w:space="0" w:color="auto"/>
          </w:divBdr>
        </w:div>
      </w:divsChild>
    </w:div>
    <w:div w:id="1470242242">
      <w:bodyDiv w:val="1"/>
      <w:marLeft w:val="0"/>
      <w:marRight w:val="0"/>
      <w:marTop w:val="0"/>
      <w:marBottom w:val="0"/>
      <w:divBdr>
        <w:top w:val="none" w:sz="0" w:space="0" w:color="auto"/>
        <w:left w:val="none" w:sz="0" w:space="0" w:color="auto"/>
        <w:bottom w:val="none" w:sz="0" w:space="0" w:color="auto"/>
        <w:right w:val="none" w:sz="0" w:space="0" w:color="auto"/>
      </w:divBdr>
      <w:divsChild>
        <w:div w:id="398554271">
          <w:marLeft w:val="0"/>
          <w:marRight w:val="0"/>
          <w:marTop w:val="15"/>
          <w:marBottom w:val="0"/>
          <w:divBdr>
            <w:top w:val="single" w:sz="48" w:space="0" w:color="auto"/>
            <w:left w:val="single" w:sz="48" w:space="0" w:color="auto"/>
            <w:bottom w:val="single" w:sz="48" w:space="0" w:color="auto"/>
            <w:right w:val="single" w:sz="48" w:space="0" w:color="auto"/>
          </w:divBdr>
          <w:divsChild>
            <w:div w:id="554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0147">
      <w:bodyDiv w:val="1"/>
      <w:marLeft w:val="0"/>
      <w:marRight w:val="0"/>
      <w:marTop w:val="0"/>
      <w:marBottom w:val="0"/>
      <w:divBdr>
        <w:top w:val="none" w:sz="0" w:space="0" w:color="auto"/>
        <w:left w:val="none" w:sz="0" w:space="0" w:color="auto"/>
        <w:bottom w:val="none" w:sz="0" w:space="0" w:color="auto"/>
        <w:right w:val="none" w:sz="0" w:space="0" w:color="auto"/>
      </w:divBdr>
    </w:div>
    <w:div w:id="1484852482">
      <w:bodyDiv w:val="1"/>
      <w:marLeft w:val="0"/>
      <w:marRight w:val="0"/>
      <w:marTop w:val="0"/>
      <w:marBottom w:val="0"/>
      <w:divBdr>
        <w:top w:val="none" w:sz="0" w:space="0" w:color="auto"/>
        <w:left w:val="none" w:sz="0" w:space="0" w:color="auto"/>
        <w:bottom w:val="none" w:sz="0" w:space="0" w:color="auto"/>
        <w:right w:val="none" w:sz="0" w:space="0" w:color="auto"/>
      </w:divBdr>
    </w:div>
    <w:div w:id="1495100826">
      <w:bodyDiv w:val="1"/>
      <w:marLeft w:val="0"/>
      <w:marRight w:val="0"/>
      <w:marTop w:val="0"/>
      <w:marBottom w:val="0"/>
      <w:divBdr>
        <w:top w:val="none" w:sz="0" w:space="0" w:color="auto"/>
        <w:left w:val="none" w:sz="0" w:space="0" w:color="auto"/>
        <w:bottom w:val="none" w:sz="0" w:space="0" w:color="auto"/>
        <w:right w:val="none" w:sz="0" w:space="0" w:color="auto"/>
      </w:divBdr>
    </w:div>
    <w:div w:id="150801230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9103108">
      <w:bodyDiv w:val="1"/>
      <w:marLeft w:val="0"/>
      <w:marRight w:val="0"/>
      <w:marTop w:val="0"/>
      <w:marBottom w:val="0"/>
      <w:divBdr>
        <w:top w:val="none" w:sz="0" w:space="0" w:color="auto"/>
        <w:left w:val="none" w:sz="0" w:space="0" w:color="auto"/>
        <w:bottom w:val="none" w:sz="0" w:space="0" w:color="auto"/>
        <w:right w:val="none" w:sz="0" w:space="0" w:color="auto"/>
      </w:divBdr>
    </w:div>
    <w:div w:id="1537963981">
      <w:bodyDiv w:val="1"/>
      <w:marLeft w:val="0"/>
      <w:marRight w:val="0"/>
      <w:marTop w:val="0"/>
      <w:marBottom w:val="0"/>
      <w:divBdr>
        <w:top w:val="none" w:sz="0" w:space="0" w:color="auto"/>
        <w:left w:val="none" w:sz="0" w:space="0" w:color="auto"/>
        <w:bottom w:val="none" w:sz="0" w:space="0" w:color="auto"/>
        <w:right w:val="none" w:sz="0" w:space="0" w:color="auto"/>
      </w:divBdr>
    </w:div>
    <w:div w:id="1548223606">
      <w:bodyDiv w:val="1"/>
      <w:marLeft w:val="0"/>
      <w:marRight w:val="0"/>
      <w:marTop w:val="0"/>
      <w:marBottom w:val="0"/>
      <w:divBdr>
        <w:top w:val="none" w:sz="0" w:space="0" w:color="auto"/>
        <w:left w:val="none" w:sz="0" w:space="0" w:color="auto"/>
        <w:bottom w:val="none" w:sz="0" w:space="0" w:color="auto"/>
        <w:right w:val="none" w:sz="0" w:space="0" w:color="auto"/>
      </w:divBdr>
      <w:divsChild>
        <w:div w:id="1095711816">
          <w:marLeft w:val="0"/>
          <w:marRight w:val="0"/>
          <w:marTop w:val="15"/>
          <w:marBottom w:val="0"/>
          <w:divBdr>
            <w:top w:val="single" w:sz="48" w:space="0" w:color="auto"/>
            <w:left w:val="single" w:sz="48" w:space="0" w:color="auto"/>
            <w:bottom w:val="single" w:sz="48" w:space="0" w:color="auto"/>
            <w:right w:val="single" w:sz="48" w:space="0" w:color="auto"/>
          </w:divBdr>
          <w:divsChild>
            <w:div w:id="1122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536">
      <w:bodyDiv w:val="1"/>
      <w:marLeft w:val="0"/>
      <w:marRight w:val="0"/>
      <w:marTop w:val="0"/>
      <w:marBottom w:val="0"/>
      <w:divBdr>
        <w:top w:val="none" w:sz="0" w:space="0" w:color="auto"/>
        <w:left w:val="none" w:sz="0" w:space="0" w:color="auto"/>
        <w:bottom w:val="none" w:sz="0" w:space="0" w:color="auto"/>
        <w:right w:val="none" w:sz="0" w:space="0" w:color="auto"/>
      </w:divBdr>
    </w:div>
    <w:div w:id="1562911486">
      <w:bodyDiv w:val="1"/>
      <w:marLeft w:val="0"/>
      <w:marRight w:val="0"/>
      <w:marTop w:val="0"/>
      <w:marBottom w:val="0"/>
      <w:divBdr>
        <w:top w:val="none" w:sz="0" w:space="0" w:color="auto"/>
        <w:left w:val="none" w:sz="0" w:space="0" w:color="auto"/>
        <w:bottom w:val="none" w:sz="0" w:space="0" w:color="auto"/>
        <w:right w:val="none" w:sz="0" w:space="0" w:color="auto"/>
      </w:divBdr>
    </w:div>
    <w:div w:id="1570112345">
      <w:bodyDiv w:val="1"/>
      <w:marLeft w:val="0"/>
      <w:marRight w:val="0"/>
      <w:marTop w:val="0"/>
      <w:marBottom w:val="0"/>
      <w:divBdr>
        <w:top w:val="none" w:sz="0" w:space="0" w:color="auto"/>
        <w:left w:val="none" w:sz="0" w:space="0" w:color="auto"/>
        <w:bottom w:val="none" w:sz="0" w:space="0" w:color="auto"/>
        <w:right w:val="none" w:sz="0" w:space="0" w:color="auto"/>
      </w:divBdr>
    </w:div>
    <w:div w:id="1576474981">
      <w:bodyDiv w:val="1"/>
      <w:marLeft w:val="0"/>
      <w:marRight w:val="0"/>
      <w:marTop w:val="0"/>
      <w:marBottom w:val="0"/>
      <w:divBdr>
        <w:top w:val="none" w:sz="0" w:space="0" w:color="auto"/>
        <w:left w:val="none" w:sz="0" w:space="0" w:color="auto"/>
        <w:bottom w:val="none" w:sz="0" w:space="0" w:color="auto"/>
        <w:right w:val="none" w:sz="0" w:space="0" w:color="auto"/>
      </w:divBdr>
    </w:div>
    <w:div w:id="1594170553">
      <w:bodyDiv w:val="1"/>
      <w:marLeft w:val="0"/>
      <w:marRight w:val="0"/>
      <w:marTop w:val="0"/>
      <w:marBottom w:val="0"/>
      <w:divBdr>
        <w:top w:val="none" w:sz="0" w:space="0" w:color="auto"/>
        <w:left w:val="none" w:sz="0" w:space="0" w:color="auto"/>
        <w:bottom w:val="none" w:sz="0" w:space="0" w:color="auto"/>
        <w:right w:val="none" w:sz="0" w:space="0" w:color="auto"/>
      </w:divBdr>
    </w:div>
    <w:div w:id="1599630837">
      <w:bodyDiv w:val="1"/>
      <w:marLeft w:val="0"/>
      <w:marRight w:val="0"/>
      <w:marTop w:val="0"/>
      <w:marBottom w:val="0"/>
      <w:divBdr>
        <w:top w:val="none" w:sz="0" w:space="0" w:color="auto"/>
        <w:left w:val="none" w:sz="0" w:space="0" w:color="auto"/>
        <w:bottom w:val="none" w:sz="0" w:space="0" w:color="auto"/>
        <w:right w:val="none" w:sz="0" w:space="0" w:color="auto"/>
      </w:divBdr>
    </w:div>
    <w:div w:id="1600720909">
      <w:bodyDiv w:val="1"/>
      <w:marLeft w:val="0"/>
      <w:marRight w:val="0"/>
      <w:marTop w:val="0"/>
      <w:marBottom w:val="0"/>
      <w:divBdr>
        <w:top w:val="none" w:sz="0" w:space="0" w:color="auto"/>
        <w:left w:val="none" w:sz="0" w:space="0" w:color="auto"/>
        <w:bottom w:val="none" w:sz="0" w:space="0" w:color="auto"/>
        <w:right w:val="none" w:sz="0" w:space="0" w:color="auto"/>
      </w:divBdr>
      <w:divsChild>
        <w:div w:id="659965252">
          <w:marLeft w:val="0"/>
          <w:marRight w:val="0"/>
          <w:marTop w:val="15"/>
          <w:marBottom w:val="0"/>
          <w:divBdr>
            <w:top w:val="single" w:sz="48" w:space="0" w:color="auto"/>
            <w:left w:val="single" w:sz="48" w:space="0" w:color="auto"/>
            <w:bottom w:val="single" w:sz="48" w:space="0" w:color="auto"/>
            <w:right w:val="single" w:sz="48" w:space="0" w:color="auto"/>
          </w:divBdr>
          <w:divsChild>
            <w:div w:id="16800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4008">
      <w:bodyDiv w:val="1"/>
      <w:marLeft w:val="0"/>
      <w:marRight w:val="0"/>
      <w:marTop w:val="0"/>
      <w:marBottom w:val="0"/>
      <w:divBdr>
        <w:top w:val="none" w:sz="0" w:space="0" w:color="auto"/>
        <w:left w:val="none" w:sz="0" w:space="0" w:color="auto"/>
        <w:bottom w:val="none" w:sz="0" w:space="0" w:color="auto"/>
        <w:right w:val="none" w:sz="0" w:space="0" w:color="auto"/>
      </w:divBdr>
    </w:div>
    <w:div w:id="1633754926">
      <w:bodyDiv w:val="1"/>
      <w:marLeft w:val="0"/>
      <w:marRight w:val="0"/>
      <w:marTop w:val="0"/>
      <w:marBottom w:val="0"/>
      <w:divBdr>
        <w:top w:val="none" w:sz="0" w:space="0" w:color="auto"/>
        <w:left w:val="none" w:sz="0" w:space="0" w:color="auto"/>
        <w:bottom w:val="none" w:sz="0" w:space="0" w:color="auto"/>
        <w:right w:val="none" w:sz="0" w:space="0" w:color="auto"/>
      </w:divBdr>
    </w:div>
    <w:div w:id="1633829377">
      <w:bodyDiv w:val="1"/>
      <w:marLeft w:val="0"/>
      <w:marRight w:val="0"/>
      <w:marTop w:val="0"/>
      <w:marBottom w:val="0"/>
      <w:divBdr>
        <w:top w:val="none" w:sz="0" w:space="0" w:color="auto"/>
        <w:left w:val="none" w:sz="0" w:space="0" w:color="auto"/>
        <w:bottom w:val="none" w:sz="0" w:space="0" w:color="auto"/>
        <w:right w:val="none" w:sz="0" w:space="0" w:color="auto"/>
      </w:divBdr>
    </w:div>
    <w:div w:id="1634362968">
      <w:bodyDiv w:val="1"/>
      <w:marLeft w:val="0"/>
      <w:marRight w:val="0"/>
      <w:marTop w:val="0"/>
      <w:marBottom w:val="0"/>
      <w:divBdr>
        <w:top w:val="none" w:sz="0" w:space="0" w:color="auto"/>
        <w:left w:val="none" w:sz="0" w:space="0" w:color="auto"/>
        <w:bottom w:val="none" w:sz="0" w:space="0" w:color="auto"/>
        <w:right w:val="none" w:sz="0" w:space="0" w:color="auto"/>
      </w:divBdr>
      <w:divsChild>
        <w:div w:id="175651812">
          <w:marLeft w:val="0"/>
          <w:marRight w:val="0"/>
          <w:marTop w:val="0"/>
          <w:marBottom w:val="0"/>
          <w:divBdr>
            <w:top w:val="none" w:sz="0" w:space="0" w:color="auto"/>
            <w:left w:val="none" w:sz="0" w:space="0" w:color="auto"/>
            <w:bottom w:val="none" w:sz="0" w:space="0" w:color="auto"/>
            <w:right w:val="none" w:sz="0" w:space="0" w:color="auto"/>
          </w:divBdr>
        </w:div>
        <w:div w:id="396439972">
          <w:marLeft w:val="0"/>
          <w:marRight w:val="0"/>
          <w:marTop w:val="0"/>
          <w:marBottom w:val="0"/>
          <w:divBdr>
            <w:top w:val="none" w:sz="0" w:space="0" w:color="auto"/>
            <w:left w:val="none" w:sz="0" w:space="0" w:color="auto"/>
            <w:bottom w:val="none" w:sz="0" w:space="0" w:color="auto"/>
            <w:right w:val="none" w:sz="0" w:space="0" w:color="auto"/>
          </w:divBdr>
        </w:div>
        <w:div w:id="676271762">
          <w:marLeft w:val="0"/>
          <w:marRight w:val="0"/>
          <w:marTop w:val="0"/>
          <w:marBottom w:val="0"/>
          <w:divBdr>
            <w:top w:val="none" w:sz="0" w:space="0" w:color="auto"/>
            <w:left w:val="none" w:sz="0" w:space="0" w:color="auto"/>
            <w:bottom w:val="none" w:sz="0" w:space="0" w:color="auto"/>
            <w:right w:val="none" w:sz="0" w:space="0" w:color="auto"/>
          </w:divBdr>
        </w:div>
        <w:div w:id="841242407">
          <w:marLeft w:val="0"/>
          <w:marRight w:val="0"/>
          <w:marTop w:val="0"/>
          <w:marBottom w:val="0"/>
          <w:divBdr>
            <w:top w:val="none" w:sz="0" w:space="0" w:color="auto"/>
            <w:left w:val="none" w:sz="0" w:space="0" w:color="auto"/>
            <w:bottom w:val="none" w:sz="0" w:space="0" w:color="auto"/>
            <w:right w:val="none" w:sz="0" w:space="0" w:color="auto"/>
          </w:divBdr>
        </w:div>
        <w:div w:id="1438404589">
          <w:marLeft w:val="0"/>
          <w:marRight w:val="0"/>
          <w:marTop w:val="0"/>
          <w:marBottom w:val="0"/>
          <w:divBdr>
            <w:top w:val="none" w:sz="0" w:space="0" w:color="auto"/>
            <w:left w:val="none" w:sz="0" w:space="0" w:color="auto"/>
            <w:bottom w:val="none" w:sz="0" w:space="0" w:color="auto"/>
            <w:right w:val="none" w:sz="0" w:space="0" w:color="auto"/>
          </w:divBdr>
        </w:div>
        <w:div w:id="1771006699">
          <w:marLeft w:val="0"/>
          <w:marRight w:val="0"/>
          <w:marTop w:val="0"/>
          <w:marBottom w:val="0"/>
          <w:divBdr>
            <w:top w:val="none" w:sz="0" w:space="0" w:color="auto"/>
            <w:left w:val="none" w:sz="0" w:space="0" w:color="auto"/>
            <w:bottom w:val="none" w:sz="0" w:space="0" w:color="auto"/>
            <w:right w:val="none" w:sz="0" w:space="0" w:color="auto"/>
          </w:divBdr>
        </w:div>
        <w:div w:id="2116360535">
          <w:marLeft w:val="0"/>
          <w:marRight w:val="0"/>
          <w:marTop w:val="0"/>
          <w:marBottom w:val="0"/>
          <w:divBdr>
            <w:top w:val="none" w:sz="0" w:space="0" w:color="auto"/>
            <w:left w:val="none" w:sz="0" w:space="0" w:color="auto"/>
            <w:bottom w:val="none" w:sz="0" w:space="0" w:color="auto"/>
            <w:right w:val="none" w:sz="0" w:space="0" w:color="auto"/>
          </w:divBdr>
        </w:div>
      </w:divsChild>
    </w:div>
    <w:div w:id="1656372098">
      <w:bodyDiv w:val="1"/>
      <w:marLeft w:val="0"/>
      <w:marRight w:val="0"/>
      <w:marTop w:val="0"/>
      <w:marBottom w:val="0"/>
      <w:divBdr>
        <w:top w:val="none" w:sz="0" w:space="0" w:color="auto"/>
        <w:left w:val="none" w:sz="0" w:space="0" w:color="auto"/>
        <w:bottom w:val="none" w:sz="0" w:space="0" w:color="auto"/>
        <w:right w:val="none" w:sz="0" w:space="0" w:color="auto"/>
      </w:divBdr>
    </w:div>
    <w:div w:id="1657685092">
      <w:bodyDiv w:val="1"/>
      <w:marLeft w:val="0"/>
      <w:marRight w:val="0"/>
      <w:marTop w:val="0"/>
      <w:marBottom w:val="0"/>
      <w:divBdr>
        <w:top w:val="none" w:sz="0" w:space="0" w:color="auto"/>
        <w:left w:val="none" w:sz="0" w:space="0" w:color="auto"/>
        <w:bottom w:val="none" w:sz="0" w:space="0" w:color="auto"/>
        <w:right w:val="none" w:sz="0" w:space="0" w:color="auto"/>
      </w:divBdr>
    </w:div>
    <w:div w:id="1663315629">
      <w:bodyDiv w:val="1"/>
      <w:marLeft w:val="0"/>
      <w:marRight w:val="0"/>
      <w:marTop w:val="0"/>
      <w:marBottom w:val="0"/>
      <w:divBdr>
        <w:top w:val="none" w:sz="0" w:space="0" w:color="auto"/>
        <w:left w:val="none" w:sz="0" w:space="0" w:color="auto"/>
        <w:bottom w:val="none" w:sz="0" w:space="0" w:color="auto"/>
        <w:right w:val="none" w:sz="0" w:space="0" w:color="auto"/>
      </w:divBdr>
    </w:div>
    <w:div w:id="1677346761">
      <w:bodyDiv w:val="1"/>
      <w:marLeft w:val="0"/>
      <w:marRight w:val="0"/>
      <w:marTop w:val="0"/>
      <w:marBottom w:val="0"/>
      <w:divBdr>
        <w:top w:val="none" w:sz="0" w:space="0" w:color="auto"/>
        <w:left w:val="none" w:sz="0" w:space="0" w:color="auto"/>
        <w:bottom w:val="none" w:sz="0" w:space="0" w:color="auto"/>
        <w:right w:val="none" w:sz="0" w:space="0" w:color="auto"/>
      </w:divBdr>
    </w:div>
    <w:div w:id="1679304289">
      <w:bodyDiv w:val="1"/>
      <w:marLeft w:val="0"/>
      <w:marRight w:val="0"/>
      <w:marTop w:val="0"/>
      <w:marBottom w:val="0"/>
      <w:divBdr>
        <w:top w:val="none" w:sz="0" w:space="0" w:color="auto"/>
        <w:left w:val="none" w:sz="0" w:space="0" w:color="auto"/>
        <w:bottom w:val="none" w:sz="0" w:space="0" w:color="auto"/>
        <w:right w:val="none" w:sz="0" w:space="0" w:color="auto"/>
      </w:divBdr>
      <w:divsChild>
        <w:div w:id="990793741">
          <w:marLeft w:val="0"/>
          <w:marRight w:val="0"/>
          <w:marTop w:val="15"/>
          <w:marBottom w:val="0"/>
          <w:divBdr>
            <w:top w:val="single" w:sz="48" w:space="0" w:color="auto"/>
            <w:left w:val="single" w:sz="48" w:space="0" w:color="auto"/>
            <w:bottom w:val="single" w:sz="48" w:space="0" w:color="auto"/>
            <w:right w:val="single" w:sz="48" w:space="0" w:color="auto"/>
          </w:divBdr>
          <w:divsChild>
            <w:div w:id="2931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4926">
      <w:bodyDiv w:val="1"/>
      <w:marLeft w:val="0"/>
      <w:marRight w:val="0"/>
      <w:marTop w:val="0"/>
      <w:marBottom w:val="0"/>
      <w:divBdr>
        <w:top w:val="none" w:sz="0" w:space="0" w:color="auto"/>
        <w:left w:val="none" w:sz="0" w:space="0" w:color="auto"/>
        <w:bottom w:val="none" w:sz="0" w:space="0" w:color="auto"/>
        <w:right w:val="none" w:sz="0" w:space="0" w:color="auto"/>
      </w:divBdr>
    </w:div>
    <w:div w:id="1684283626">
      <w:bodyDiv w:val="1"/>
      <w:marLeft w:val="0"/>
      <w:marRight w:val="0"/>
      <w:marTop w:val="0"/>
      <w:marBottom w:val="0"/>
      <w:divBdr>
        <w:top w:val="none" w:sz="0" w:space="0" w:color="auto"/>
        <w:left w:val="none" w:sz="0" w:space="0" w:color="auto"/>
        <w:bottom w:val="none" w:sz="0" w:space="0" w:color="auto"/>
        <w:right w:val="none" w:sz="0" w:space="0" w:color="auto"/>
      </w:divBdr>
    </w:div>
    <w:div w:id="1686127858">
      <w:bodyDiv w:val="1"/>
      <w:marLeft w:val="0"/>
      <w:marRight w:val="0"/>
      <w:marTop w:val="0"/>
      <w:marBottom w:val="0"/>
      <w:divBdr>
        <w:top w:val="none" w:sz="0" w:space="0" w:color="auto"/>
        <w:left w:val="none" w:sz="0" w:space="0" w:color="auto"/>
        <w:bottom w:val="none" w:sz="0" w:space="0" w:color="auto"/>
        <w:right w:val="none" w:sz="0" w:space="0" w:color="auto"/>
      </w:divBdr>
    </w:div>
    <w:div w:id="1689522413">
      <w:bodyDiv w:val="1"/>
      <w:marLeft w:val="0"/>
      <w:marRight w:val="0"/>
      <w:marTop w:val="0"/>
      <w:marBottom w:val="0"/>
      <w:divBdr>
        <w:top w:val="none" w:sz="0" w:space="0" w:color="auto"/>
        <w:left w:val="none" w:sz="0" w:space="0" w:color="auto"/>
        <w:bottom w:val="none" w:sz="0" w:space="0" w:color="auto"/>
        <w:right w:val="none" w:sz="0" w:space="0" w:color="auto"/>
      </w:divBdr>
    </w:div>
    <w:div w:id="1696271686">
      <w:bodyDiv w:val="1"/>
      <w:marLeft w:val="0"/>
      <w:marRight w:val="0"/>
      <w:marTop w:val="0"/>
      <w:marBottom w:val="0"/>
      <w:divBdr>
        <w:top w:val="none" w:sz="0" w:space="0" w:color="auto"/>
        <w:left w:val="none" w:sz="0" w:space="0" w:color="auto"/>
        <w:bottom w:val="none" w:sz="0" w:space="0" w:color="auto"/>
        <w:right w:val="none" w:sz="0" w:space="0" w:color="auto"/>
      </w:divBdr>
      <w:divsChild>
        <w:div w:id="80835543">
          <w:marLeft w:val="0"/>
          <w:marRight w:val="0"/>
          <w:marTop w:val="0"/>
          <w:marBottom w:val="0"/>
          <w:divBdr>
            <w:top w:val="none" w:sz="0" w:space="0" w:color="auto"/>
            <w:left w:val="none" w:sz="0" w:space="0" w:color="auto"/>
            <w:bottom w:val="none" w:sz="0" w:space="0" w:color="auto"/>
            <w:right w:val="none" w:sz="0" w:space="0" w:color="auto"/>
          </w:divBdr>
        </w:div>
        <w:div w:id="232086645">
          <w:marLeft w:val="0"/>
          <w:marRight w:val="0"/>
          <w:marTop w:val="0"/>
          <w:marBottom w:val="0"/>
          <w:divBdr>
            <w:top w:val="none" w:sz="0" w:space="0" w:color="auto"/>
            <w:left w:val="none" w:sz="0" w:space="0" w:color="auto"/>
            <w:bottom w:val="none" w:sz="0" w:space="0" w:color="auto"/>
            <w:right w:val="none" w:sz="0" w:space="0" w:color="auto"/>
          </w:divBdr>
        </w:div>
        <w:div w:id="267198984">
          <w:marLeft w:val="0"/>
          <w:marRight w:val="0"/>
          <w:marTop w:val="0"/>
          <w:marBottom w:val="0"/>
          <w:divBdr>
            <w:top w:val="none" w:sz="0" w:space="0" w:color="auto"/>
            <w:left w:val="none" w:sz="0" w:space="0" w:color="auto"/>
            <w:bottom w:val="none" w:sz="0" w:space="0" w:color="auto"/>
            <w:right w:val="none" w:sz="0" w:space="0" w:color="auto"/>
          </w:divBdr>
        </w:div>
        <w:div w:id="283658894">
          <w:marLeft w:val="0"/>
          <w:marRight w:val="0"/>
          <w:marTop w:val="0"/>
          <w:marBottom w:val="0"/>
          <w:divBdr>
            <w:top w:val="none" w:sz="0" w:space="0" w:color="auto"/>
            <w:left w:val="none" w:sz="0" w:space="0" w:color="auto"/>
            <w:bottom w:val="none" w:sz="0" w:space="0" w:color="auto"/>
            <w:right w:val="none" w:sz="0" w:space="0" w:color="auto"/>
          </w:divBdr>
        </w:div>
        <w:div w:id="289634999">
          <w:marLeft w:val="0"/>
          <w:marRight w:val="0"/>
          <w:marTop w:val="0"/>
          <w:marBottom w:val="0"/>
          <w:divBdr>
            <w:top w:val="none" w:sz="0" w:space="0" w:color="auto"/>
            <w:left w:val="none" w:sz="0" w:space="0" w:color="auto"/>
            <w:bottom w:val="none" w:sz="0" w:space="0" w:color="auto"/>
            <w:right w:val="none" w:sz="0" w:space="0" w:color="auto"/>
          </w:divBdr>
        </w:div>
        <w:div w:id="303975762">
          <w:marLeft w:val="0"/>
          <w:marRight w:val="0"/>
          <w:marTop w:val="0"/>
          <w:marBottom w:val="0"/>
          <w:divBdr>
            <w:top w:val="none" w:sz="0" w:space="0" w:color="auto"/>
            <w:left w:val="none" w:sz="0" w:space="0" w:color="auto"/>
            <w:bottom w:val="none" w:sz="0" w:space="0" w:color="auto"/>
            <w:right w:val="none" w:sz="0" w:space="0" w:color="auto"/>
          </w:divBdr>
        </w:div>
        <w:div w:id="316420553">
          <w:marLeft w:val="0"/>
          <w:marRight w:val="0"/>
          <w:marTop w:val="0"/>
          <w:marBottom w:val="0"/>
          <w:divBdr>
            <w:top w:val="none" w:sz="0" w:space="0" w:color="auto"/>
            <w:left w:val="none" w:sz="0" w:space="0" w:color="auto"/>
            <w:bottom w:val="none" w:sz="0" w:space="0" w:color="auto"/>
            <w:right w:val="none" w:sz="0" w:space="0" w:color="auto"/>
          </w:divBdr>
        </w:div>
        <w:div w:id="528565829">
          <w:marLeft w:val="0"/>
          <w:marRight w:val="0"/>
          <w:marTop w:val="0"/>
          <w:marBottom w:val="0"/>
          <w:divBdr>
            <w:top w:val="none" w:sz="0" w:space="0" w:color="auto"/>
            <w:left w:val="none" w:sz="0" w:space="0" w:color="auto"/>
            <w:bottom w:val="none" w:sz="0" w:space="0" w:color="auto"/>
            <w:right w:val="none" w:sz="0" w:space="0" w:color="auto"/>
          </w:divBdr>
        </w:div>
        <w:div w:id="598636276">
          <w:marLeft w:val="0"/>
          <w:marRight w:val="0"/>
          <w:marTop w:val="0"/>
          <w:marBottom w:val="0"/>
          <w:divBdr>
            <w:top w:val="none" w:sz="0" w:space="0" w:color="auto"/>
            <w:left w:val="none" w:sz="0" w:space="0" w:color="auto"/>
            <w:bottom w:val="none" w:sz="0" w:space="0" w:color="auto"/>
            <w:right w:val="none" w:sz="0" w:space="0" w:color="auto"/>
          </w:divBdr>
        </w:div>
        <w:div w:id="612517581">
          <w:marLeft w:val="0"/>
          <w:marRight w:val="0"/>
          <w:marTop w:val="0"/>
          <w:marBottom w:val="0"/>
          <w:divBdr>
            <w:top w:val="none" w:sz="0" w:space="0" w:color="auto"/>
            <w:left w:val="none" w:sz="0" w:space="0" w:color="auto"/>
            <w:bottom w:val="none" w:sz="0" w:space="0" w:color="auto"/>
            <w:right w:val="none" w:sz="0" w:space="0" w:color="auto"/>
          </w:divBdr>
        </w:div>
        <w:div w:id="626545939">
          <w:marLeft w:val="0"/>
          <w:marRight w:val="0"/>
          <w:marTop w:val="0"/>
          <w:marBottom w:val="0"/>
          <w:divBdr>
            <w:top w:val="none" w:sz="0" w:space="0" w:color="auto"/>
            <w:left w:val="none" w:sz="0" w:space="0" w:color="auto"/>
            <w:bottom w:val="none" w:sz="0" w:space="0" w:color="auto"/>
            <w:right w:val="none" w:sz="0" w:space="0" w:color="auto"/>
          </w:divBdr>
        </w:div>
        <w:div w:id="749739383">
          <w:marLeft w:val="0"/>
          <w:marRight w:val="0"/>
          <w:marTop w:val="0"/>
          <w:marBottom w:val="0"/>
          <w:divBdr>
            <w:top w:val="none" w:sz="0" w:space="0" w:color="auto"/>
            <w:left w:val="none" w:sz="0" w:space="0" w:color="auto"/>
            <w:bottom w:val="none" w:sz="0" w:space="0" w:color="auto"/>
            <w:right w:val="none" w:sz="0" w:space="0" w:color="auto"/>
          </w:divBdr>
        </w:div>
        <w:div w:id="911164053">
          <w:marLeft w:val="0"/>
          <w:marRight w:val="0"/>
          <w:marTop w:val="0"/>
          <w:marBottom w:val="0"/>
          <w:divBdr>
            <w:top w:val="none" w:sz="0" w:space="0" w:color="auto"/>
            <w:left w:val="none" w:sz="0" w:space="0" w:color="auto"/>
            <w:bottom w:val="none" w:sz="0" w:space="0" w:color="auto"/>
            <w:right w:val="none" w:sz="0" w:space="0" w:color="auto"/>
          </w:divBdr>
        </w:div>
        <w:div w:id="1087386774">
          <w:marLeft w:val="0"/>
          <w:marRight w:val="0"/>
          <w:marTop w:val="0"/>
          <w:marBottom w:val="0"/>
          <w:divBdr>
            <w:top w:val="none" w:sz="0" w:space="0" w:color="auto"/>
            <w:left w:val="none" w:sz="0" w:space="0" w:color="auto"/>
            <w:bottom w:val="none" w:sz="0" w:space="0" w:color="auto"/>
            <w:right w:val="none" w:sz="0" w:space="0" w:color="auto"/>
          </w:divBdr>
        </w:div>
        <w:div w:id="1149327635">
          <w:marLeft w:val="0"/>
          <w:marRight w:val="0"/>
          <w:marTop w:val="0"/>
          <w:marBottom w:val="0"/>
          <w:divBdr>
            <w:top w:val="none" w:sz="0" w:space="0" w:color="auto"/>
            <w:left w:val="none" w:sz="0" w:space="0" w:color="auto"/>
            <w:bottom w:val="none" w:sz="0" w:space="0" w:color="auto"/>
            <w:right w:val="none" w:sz="0" w:space="0" w:color="auto"/>
          </w:divBdr>
        </w:div>
        <w:div w:id="1254902290">
          <w:marLeft w:val="0"/>
          <w:marRight w:val="0"/>
          <w:marTop w:val="0"/>
          <w:marBottom w:val="0"/>
          <w:divBdr>
            <w:top w:val="none" w:sz="0" w:space="0" w:color="auto"/>
            <w:left w:val="none" w:sz="0" w:space="0" w:color="auto"/>
            <w:bottom w:val="none" w:sz="0" w:space="0" w:color="auto"/>
            <w:right w:val="none" w:sz="0" w:space="0" w:color="auto"/>
          </w:divBdr>
        </w:div>
        <w:div w:id="1442796720">
          <w:marLeft w:val="0"/>
          <w:marRight w:val="0"/>
          <w:marTop w:val="0"/>
          <w:marBottom w:val="0"/>
          <w:divBdr>
            <w:top w:val="none" w:sz="0" w:space="0" w:color="auto"/>
            <w:left w:val="none" w:sz="0" w:space="0" w:color="auto"/>
            <w:bottom w:val="none" w:sz="0" w:space="0" w:color="auto"/>
            <w:right w:val="none" w:sz="0" w:space="0" w:color="auto"/>
          </w:divBdr>
        </w:div>
        <w:div w:id="1505899707">
          <w:marLeft w:val="0"/>
          <w:marRight w:val="0"/>
          <w:marTop w:val="0"/>
          <w:marBottom w:val="0"/>
          <w:divBdr>
            <w:top w:val="none" w:sz="0" w:space="0" w:color="auto"/>
            <w:left w:val="none" w:sz="0" w:space="0" w:color="auto"/>
            <w:bottom w:val="none" w:sz="0" w:space="0" w:color="auto"/>
            <w:right w:val="none" w:sz="0" w:space="0" w:color="auto"/>
          </w:divBdr>
        </w:div>
        <w:div w:id="1551453874">
          <w:marLeft w:val="0"/>
          <w:marRight w:val="0"/>
          <w:marTop w:val="0"/>
          <w:marBottom w:val="0"/>
          <w:divBdr>
            <w:top w:val="none" w:sz="0" w:space="0" w:color="auto"/>
            <w:left w:val="none" w:sz="0" w:space="0" w:color="auto"/>
            <w:bottom w:val="none" w:sz="0" w:space="0" w:color="auto"/>
            <w:right w:val="none" w:sz="0" w:space="0" w:color="auto"/>
          </w:divBdr>
        </w:div>
        <w:div w:id="1569269001">
          <w:marLeft w:val="0"/>
          <w:marRight w:val="0"/>
          <w:marTop w:val="0"/>
          <w:marBottom w:val="0"/>
          <w:divBdr>
            <w:top w:val="none" w:sz="0" w:space="0" w:color="auto"/>
            <w:left w:val="none" w:sz="0" w:space="0" w:color="auto"/>
            <w:bottom w:val="none" w:sz="0" w:space="0" w:color="auto"/>
            <w:right w:val="none" w:sz="0" w:space="0" w:color="auto"/>
          </w:divBdr>
        </w:div>
        <w:div w:id="1651982217">
          <w:marLeft w:val="0"/>
          <w:marRight w:val="0"/>
          <w:marTop w:val="0"/>
          <w:marBottom w:val="0"/>
          <w:divBdr>
            <w:top w:val="none" w:sz="0" w:space="0" w:color="auto"/>
            <w:left w:val="none" w:sz="0" w:space="0" w:color="auto"/>
            <w:bottom w:val="none" w:sz="0" w:space="0" w:color="auto"/>
            <w:right w:val="none" w:sz="0" w:space="0" w:color="auto"/>
          </w:divBdr>
        </w:div>
        <w:div w:id="1757441055">
          <w:marLeft w:val="0"/>
          <w:marRight w:val="0"/>
          <w:marTop w:val="0"/>
          <w:marBottom w:val="0"/>
          <w:divBdr>
            <w:top w:val="none" w:sz="0" w:space="0" w:color="auto"/>
            <w:left w:val="none" w:sz="0" w:space="0" w:color="auto"/>
            <w:bottom w:val="none" w:sz="0" w:space="0" w:color="auto"/>
            <w:right w:val="none" w:sz="0" w:space="0" w:color="auto"/>
          </w:divBdr>
        </w:div>
        <w:div w:id="1923023703">
          <w:marLeft w:val="0"/>
          <w:marRight w:val="0"/>
          <w:marTop w:val="0"/>
          <w:marBottom w:val="0"/>
          <w:divBdr>
            <w:top w:val="none" w:sz="0" w:space="0" w:color="auto"/>
            <w:left w:val="none" w:sz="0" w:space="0" w:color="auto"/>
            <w:bottom w:val="none" w:sz="0" w:space="0" w:color="auto"/>
            <w:right w:val="none" w:sz="0" w:space="0" w:color="auto"/>
          </w:divBdr>
        </w:div>
      </w:divsChild>
    </w:div>
    <w:div w:id="1698658580">
      <w:bodyDiv w:val="1"/>
      <w:marLeft w:val="0"/>
      <w:marRight w:val="0"/>
      <w:marTop w:val="0"/>
      <w:marBottom w:val="0"/>
      <w:divBdr>
        <w:top w:val="none" w:sz="0" w:space="0" w:color="auto"/>
        <w:left w:val="none" w:sz="0" w:space="0" w:color="auto"/>
        <w:bottom w:val="none" w:sz="0" w:space="0" w:color="auto"/>
        <w:right w:val="none" w:sz="0" w:space="0" w:color="auto"/>
      </w:divBdr>
      <w:divsChild>
        <w:div w:id="399056639">
          <w:marLeft w:val="0"/>
          <w:marRight w:val="0"/>
          <w:marTop w:val="0"/>
          <w:marBottom w:val="0"/>
          <w:divBdr>
            <w:top w:val="none" w:sz="0" w:space="0" w:color="auto"/>
            <w:left w:val="none" w:sz="0" w:space="0" w:color="auto"/>
            <w:bottom w:val="none" w:sz="0" w:space="0" w:color="auto"/>
            <w:right w:val="none" w:sz="0" w:space="0" w:color="auto"/>
          </w:divBdr>
        </w:div>
        <w:div w:id="597063731">
          <w:marLeft w:val="0"/>
          <w:marRight w:val="0"/>
          <w:marTop w:val="0"/>
          <w:marBottom w:val="0"/>
          <w:divBdr>
            <w:top w:val="none" w:sz="0" w:space="0" w:color="auto"/>
            <w:left w:val="none" w:sz="0" w:space="0" w:color="auto"/>
            <w:bottom w:val="none" w:sz="0" w:space="0" w:color="auto"/>
            <w:right w:val="none" w:sz="0" w:space="0" w:color="auto"/>
          </w:divBdr>
        </w:div>
        <w:div w:id="829101314">
          <w:marLeft w:val="0"/>
          <w:marRight w:val="0"/>
          <w:marTop w:val="0"/>
          <w:marBottom w:val="0"/>
          <w:divBdr>
            <w:top w:val="none" w:sz="0" w:space="0" w:color="auto"/>
            <w:left w:val="none" w:sz="0" w:space="0" w:color="auto"/>
            <w:bottom w:val="none" w:sz="0" w:space="0" w:color="auto"/>
            <w:right w:val="none" w:sz="0" w:space="0" w:color="auto"/>
          </w:divBdr>
        </w:div>
        <w:div w:id="1528256711">
          <w:marLeft w:val="0"/>
          <w:marRight w:val="0"/>
          <w:marTop w:val="0"/>
          <w:marBottom w:val="0"/>
          <w:divBdr>
            <w:top w:val="none" w:sz="0" w:space="0" w:color="auto"/>
            <w:left w:val="none" w:sz="0" w:space="0" w:color="auto"/>
            <w:bottom w:val="none" w:sz="0" w:space="0" w:color="auto"/>
            <w:right w:val="none" w:sz="0" w:space="0" w:color="auto"/>
          </w:divBdr>
        </w:div>
        <w:div w:id="1546940637">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1778794913">
          <w:marLeft w:val="0"/>
          <w:marRight w:val="0"/>
          <w:marTop w:val="0"/>
          <w:marBottom w:val="0"/>
          <w:divBdr>
            <w:top w:val="none" w:sz="0" w:space="0" w:color="auto"/>
            <w:left w:val="none" w:sz="0" w:space="0" w:color="auto"/>
            <w:bottom w:val="none" w:sz="0" w:space="0" w:color="auto"/>
            <w:right w:val="none" w:sz="0" w:space="0" w:color="auto"/>
          </w:divBdr>
        </w:div>
      </w:divsChild>
    </w:div>
    <w:div w:id="1709792623">
      <w:bodyDiv w:val="1"/>
      <w:marLeft w:val="0"/>
      <w:marRight w:val="0"/>
      <w:marTop w:val="0"/>
      <w:marBottom w:val="0"/>
      <w:divBdr>
        <w:top w:val="none" w:sz="0" w:space="0" w:color="auto"/>
        <w:left w:val="none" w:sz="0" w:space="0" w:color="auto"/>
        <w:bottom w:val="none" w:sz="0" w:space="0" w:color="auto"/>
        <w:right w:val="none" w:sz="0" w:space="0" w:color="auto"/>
      </w:divBdr>
    </w:div>
    <w:div w:id="1733698669">
      <w:bodyDiv w:val="1"/>
      <w:marLeft w:val="0"/>
      <w:marRight w:val="0"/>
      <w:marTop w:val="0"/>
      <w:marBottom w:val="0"/>
      <w:divBdr>
        <w:top w:val="none" w:sz="0" w:space="0" w:color="auto"/>
        <w:left w:val="none" w:sz="0" w:space="0" w:color="auto"/>
        <w:bottom w:val="none" w:sz="0" w:space="0" w:color="auto"/>
        <w:right w:val="none" w:sz="0" w:space="0" w:color="auto"/>
      </w:divBdr>
    </w:div>
    <w:div w:id="1735278466">
      <w:bodyDiv w:val="1"/>
      <w:marLeft w:val="0"/>
      <w:marRight w:val="0"/>
      <w:marTop w:val="0"/>
      <w:marBottom w:val="0"/>
      <w:divBdr>
        <w:top w:val="none" w:sz="0" w:space="0" w:color="auto"/>
        <w:left w:val="none" w:sz="0" w:space="0" w:color="auto"/>
        <w:bottom w:val="none" w:sz="0" w:space="0" w:color="auto"/>
        <w:right w:val="none" w:sz="0" w:space="0" w:color="auto"/>
      </w:divBdr>
      <w:divsChild>
        <w:div w:id="483855744">
          <w:marLeft w:val="0"/>
          <w:marRight w:val="0"/>
          <w:marTop w:val="0"/>
          <w:marBottom w:val="0"/>
          <w:divBdr>
            <w:top w:val="none" w:sz="0" w:space="0" w:color="auto"/>
            <w:left w:val="none" w:sz="0" w:space="0" w:color="auto"/>
            <w:bottom w:val="none" w:sz="0" w:space="0" w:color="auto"/>
            <w:right w:val="none" w:sz="0" w:space="0" w:color="auto"/>
          </w:divBdr>
        </w:div>
        <w:div w:id="1133251524">
          <w:marLeft w:val="0"/>
          <w:marRight w:val="0"/>
          <w:marTop w:val="0"/>
          <w:marBottom w:val="0"/>
          <w:divBdr>
            <w:top w:val="none" w:sz="0" w:space="0" w:color="auto"/>
            <w:left w:val="none" w:sz="0" w:space="0" w:color="auto"/>
            <w:bottom w:val="none" w:sz="0" w:space="0" w:color="auto"/>
            <w:right w:val="none" w:sz="0" w:space="0" w:color="auto"/>
          </w:divBdr>
        </w:div>
        <w:div w:id="1921866769">
          <w:marLeft w:val="0"/>
          <w:marRight w:val="0"/>
          <w:marTop w:val="0"/>
          <w:marBottom w:val="0"/>
          <w:divBdr>
            <w:top w:val="none" w:sz="0" w:space="0" w:color="auto"/>
            <w:left w:val="none" w:sz="0" w:space="0" w:color="auto"/>
            <w:bottom w:val="none" w:sz="0" w:space="0" w:color="auto"/>
            <w:right w:val="none" w:sz="0" w:space="0" w:color="auto"/>
          </w:divBdr>
        </w:div>
        <w:div w:id="1946576815">
          <w:marLeft w:val="0"/>
          <w:marRight w:val="0"/>
          <w:marTop w:val="0"/>
          <w:marBottom w:val="0"/>
          <w:divBdr>
            <w:top w:val="none" w:sz="0" w:space="0" w:color="auto"/>
            <w:left w:val="none" w:sz="0" w:space="0" w:color="auto"/>
            <w:bottom w:val="none" w:sz="0" w:space="0" w:color="auto"/>
            <w:right w:val="none" w:sz="0" w:space="0" w:color="auto"/>
          </w:divBdr>
        </w:div>
      </w:divsChild>
    </w:div>
    <w:div w:id="1735816536">
      <w:bodyDiv w:val="1"/>
      <w:marLeft w:val="0"/>
      <w:marRight w:val="0"/>
      <w:marTop w:val="0"/>
      <w:marBottom w:val="0"/>
      <w:divBdr>
        <w:top w:val="none" w:sz="0" w:space="0" w:color="auto"/>
        <w:left w:val="none" w:sz="0" w:space="0" w:color="auto"/>
        <w:bottom w:val="none" w:sz="0" w:space="0" w:color="auto"/>
        <w:right w:val="none" w:sz="0" w:space="0" w:color="auto"/>
      </w:divBdr>
    </w:div>
    <w:div w:id="1740640000">
      <w:bodyDiv w:val="1"/>
      <w:marLeft w:val="0"/>
      <w:marRight w:val="0"/>
      <w:marTop w:val="0"/>
      <w:marBottom w:val="0"/>
      <w:divBdr>
        <w:top w:val="none" w:sz="0" w:space="0" w:color="auto"/>
        <w:left w:val="none" w:sz="0" w:space="0" w:color="auto"/>
        <w:bottom w:val="none" w:sz="0" w:space="0" w:color="auto"/>
        <w:right w:val="none" w:sz="0" w:space="0" w:color="auto"/>
      </w:divBdr>
    </w:div>
    <w:div w:id="1746107246">
      <w:bodyDiv w:val="1"/>
      <w:marLeft w:val="0"/>
      <w:marRight w:val="0"/>
      <w:marTop w:val="0"/>
      <w:marBottom w:val="0"/>
      <w:divBdr>
        <w:top w:val="none" w:sz="0" w:space="0" w:color="auto"/>
        <w:left w:val="none" w:sz="0" w:space="0" w:color="auto"/>
        <w:bottom w:val="none" w:sz="0" w:space="0" w:color="auto"/>
        <w:right w:val="none" w:sz="0" w:space="0" w:color="auto"/>
      </w:divBdr>
    </w:div>
    <w:div w:id="1748571541">
      <w:bodyDiv w:val="1"/>
      <w:marLeft w:val="0"/>
      <w:marRight w:val="0"/>
      <w:marTop w:val="0"/>
      <w:marBottom w:val="0"/>
      <w:divBdr>
        <w:top w:val="none" w:sz="0" w:space="0" w:color="auto"/>
        <w:left w:val="none" w:sz="0" w:space="0" w:color="auto"/>
        <w:bottom w:val="none" w:sz="0" w:space="0" w:color="auto"/>
        <w:right w:val="none" w:sz="0" w:space="0" w:color="auto"/>
      </w:divBdr>
      <w:divsChild>
        <w:div w:id="890726310">
          <w:marLeft w:val="0"/>
          <w:marRight w:val="0"/>
          <w:marTop w:val="15"/>
          <w:marBottom w:val="0"/>
          <w:divBdr>
            <w:top w:val="single" w:sz="48" w:space="0" w:color="auto"/>
            <w:left w:val="single" w:sz="48" w:space="0" w:color="auto"/>
            <w:bottom w:val="single" w:sz="48" w:space="0" w:color="auto"/>
            <w:right w:val="single" w:sz="48" w:space="0" w:color="auto"/>
          </w:divBdr>
          <w:divsChild>
            <w:div w:id="11100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5596">
      <w:bodyDiv w:val="1"/>
      <w:marLeft w:val="0"/>
      <w:marRight w:val="0"/>
      <w:marTop w:val="0"/>
      <w:marBottom w:val="0"/>
      <w:divBdr>
        <w:top w:val="none" w:sz="0" w:space="0" w:color="auto"/>
        <w:left w:val="none" w:sz="0" w:space="0" w:color="auto"/>
        <w:bottom w:val="none" w:sz="0" w:space="0" w:color="auto"/>
        <w:right w:val="none" w:sz="0" w:space="0" w:color="auto"/>
      </w:divBdr>
    </w:div>
    <w:div w:id="1768888700">
      <w:bodyDiv w:val="1"/>
      <w:marLeft w:val="0"/>
      <w:marRight w:val="0"/>
      <w:marTop w:val="0"/>
      <w:marBottom w:val="0"/>
      <w:divBdr>
        <w:top w:val="none" w:sz="0" w:space="0" w:color="auto"/>
        <w:left w:val="none" w:sz="0" w:space="0" w:color="auto"/>
        <w:bottom w:val="none" w:sz="0" w:space="0" w:color="auto"/>
        <w:right w:val="none" w:sz="0" w:space="0" w:color="auto"/>
      </w:divBdr>
    </w:div>
    <w:div w:id="1770541549">
      <w:bodyDiv w:val="1"/>
      <w:marLeft w:val="0"/>
      <w:marRight w:val="0"/>
      <w:marTop w:val="0"/>
      <w:marBottom w:val="0"/>
      <w:divBdr>
        <w:top w:val="none" w:sz="0" w:space="0" w:color="auto"/>
        <w:left w:val="none" w:sz="0" w:space="0" w:color="auto"/>
        <w:bottom w:val="none" w:sz="0" w:space="0" w:color="auto"/>
        <w:right w:val="none" w:sz="0" w:space="0" w:color="auto"/>
      </w:divBdr>
    </w:div>
    <w:div w:id="1771778317">
      <w:bodyDiv w:val="1"/>
      <w:marLeft w:val="0"/>
      <w:marRight w:val="0"/>
      <w:marTop w:val="0"/>
      <w:marBottom w:val="0"/>
      <w:divBdr>
        <w:top w:val="none" w:sz="0" w:space="0" w:color="auto"/>
        <w:left w:val="none" w:sz="0" w:space="0" w:color="auto"/>
        <w:bottom w:val="none" w:sz="0" w:space="0" w:color="auto"/>
        <w:right w:val="none" w:sz="0" w:space="0" w:color="auto"/>
      </w:divBdr>
    </w:div>
    <w:div w:id="1777165295">
      <w:bodyDiv w:val="1"/>
      <w:marLeft w:val="0"/>
      <w:marRight w:val="0"/>
      <w:marTop w:val="0"/>
      <w:marBottom w:val="0"/>
      <w:divBdr>
        <w:top w:val="none" w:sz="0" w:space="0" w:color="auto"/>
        <w:left w:val="none" w:sz="0" w:space="0" w:color="auto"/>
        <w:bottom w:val="none" w:sz="0" w:space="0" w:color="auto"/>
        <w:right w:val="none" w:sz="0" w:space="0" w:color="auto"/>
      </w:divBdr>
    </w:div>
    <w:div w:id="1788770022">
      <w:bodyDiv w:val="1"/>
      <w:marLeft w:val="0"/>
      <w:marRight w:val="0"/>
      <w:marTop w:val="0"/>
      <w:marBottom w:val="0"/>
      <w:divBdr>
        <w:top w:val="none" w:sz="0" w:space="0" w:color="auto"/>
        <w:left w:val="none" w:sz="0" w:space="0" w:color="auto"/>
        <w:bottom w:val="none" w:sz="0" w:space="0" w:color="auto"/>
        <w:right w:val="none" w:sz="0" w:space="0" w:color="auto"/>
      </w:divBdr>
    </w:div>
    <w:div w:id="1792895566">
      <w:bodyDiv w:val="1"/>
      <w:marLeft w:val="0"/>
      <w:marRight w:val="0"/>
      <w:marTop w:val="0"/>
      <w:marBottom w:val="0"/>
      <w:divBdr>
        <w:top w:val="none" w:sz="0" w:space="0" w:color="auto"/>
        <w:left w:val="none" w:sz="0" w:space="0" w:color="auto"/>
        <w:bottom w:val="none" w:sz="0" w:space="0" w:color="auto"/>
        <w:right w:val="none" w:sz="0" w:space="0" w:color="auto"/>
      </w:divBdr>
    </w:div>
    <w:div w:id="1802502857">
      <w:bodyDiv w:val="1"/>
      <w:marLeft w:val="0"/>
      <w:marRight w:val="0"/>
      <w:marTop w:val="0"/>
      <w:marBottom w:val="0"/>
      <w:divBdr>
        <w:top w:val="none" w:sz="0" w:space="0" w:color="auto"/>
        <w:left w:val="none" w:sz="0" w:space="0" w:color="auto"/>
        <w:bottom w:val="none" w:sz="0" w:space="0" w:color="auto"/>
        <w:right w:val="none" w:sz="0" w:space="0" w:color="auto"/>
      </w:divBdr>
    </w:div>
    <w:div w:id="1804763034">
      <w:bodyDiv w:val="1"/>
      <w:marLeft w:val="0"/>
      <w:marRight w:val="0"/>
      <w:marTop w:val="0"/>
      <w:marBottom w:val="0"/>
      <w:divBdr>
        <w:top w:val="none" w:sz="0" w:space="0" w:color="auto"/>
        <w:left w:val="none" w:sz="0" w:space="0" w:color="auto"/>
        <w:bottom w:val="none" w:sz="0" w:space="0" w:color="auto"/>
        <w:right w:val="none" w:sz="0" w:space="0" w:color="auto"/>
      </w:divBdr>
    </w:div>
    <w:div w:id="1835946247">
      <w:bodyDiv w:val="1"/>
      <w:marLeft w:val="0"/>
      <w:marRight w:val="0"/>
      <w:marTop w:val="0"/>
      <w:marBottom w:val="0"/>
      <w:divBdr>
        <w:top w:val="none" w:sz="0" w:space="0" w:color="auto"/>
        <w:left w:val="none" w:sz="0" w:space="0" w:color="auto"/>
        <w:bottom w:val="none" w:sz="0" w:space="0" w:color="auto"/>
        <w:right w:val="none" w:sz="0" w:space="0" w:color="auto"/>
      </w:divBdr>
    </w:div>
    <w:div w:id="1848329895">
      <w:bodyDiv w:val="1"/>
      <w:marLeft w:val="0"/>
      <w:marRight w:val="0"/>
      <w:marTop w:val="0"/>
      <w:marBottom w:val="0"/>
      <w:divBdr>
        <w:top w:val="none" w:sz="0" w:space="0" w:color="auto"/>
        <w:left w:val="none" w:sz="0" w:space="0" w:color="auto"/>
        <w:bottom w:val="none" w:sz="0" w:space="0" w:color="auto"/>
        <w:right w:val="none" w:sz="0" w:space="0" w:color="auto"/>
      </w:divBdr>
    </w:div>
    <w:div w:id="1857688704">
      <w:bodyDiv w:val="1"/>
      <w:marLeft w:val="0"/>
      <w:marRight w:val="0"/>
      <w:marTop w:val="0"/>
      <w:marBottom w:val="0"/>
      <w:divBdr>
        <w:top w:val="none" w:sz="0" w:space="0" w:color="auto"/>
        <w:left w:val="none" w:sz="0" w:space="0" w:color="auto"/>
        <w:bottom w:val="none" w:sz="0" w:space="0" w:color="auto"/>
        <w:right w:val="none" w:sz="0" w:space="0" w:color="auto"/>
      </w:divBdr>
    </w:div>
    <w:div w:id="1859923531">
      <w:bodyDiv w:val="1"/>
      <w:marLeft w:val="0"/>
      <w:marRight w:val="0"/>
      <w:marTop w:val="0"/>
      <w:marBottom w:val="0"/>
      <w:divBdr>
        <w:top w:val="none" w:sz="0" w:space="0" w:color="auto"/>
        <w:left w:val="none" w:sz="0" w:space="0" w:color="auto"/>
        <w:bottom w:val="none" w:sz="0" w:space="0" w:color="auto"/>
        <w:right w:val="none" w:sz="0" w:space="0" w:color="auto"/>
      </w:divBdr>
    </w:div>
    <w:div w:id="1866018041">
      <w:bodyDiv w:val="1"/>
      <w:marLeft w:val="0"/>
      <w:marRight w:val="0"/>
      <w:marTop w:val="0"/>
      <w:marBottom w:val="0"/>
      <w:divBdr>
        <w:top w:val="none" w:sz="0" w:space="0" w:color="auto"/>
        <w:left w:val="none" w:sz="0" w:space="0" w:color="auto"/>
        <w:bottom w:val="none" w:sz="0" w:space="0" w:color="auto"/>
        <w:right w:val="none" w:sz="0" w:space="0" w:color="auto"/>
      </w:divBdr>
    </w:div>
    <w:div w:id="1868909399">
      <w:bodyDiv w:val="1"/>
      <w:marLeft w:val="0"/>
      <w:marRight w:val="0"/>
      <w:marTop w:val="0"/>
      <w:marBottom w:val="0"/>
      <w:divBdr>
        <w:top w:val="none" w:sz="0" w:space="0" w:color="auto"/>
        <w:left w:val="none" w:sz="0" w:space="0" w:color="auto"/>
        <w:bottom w:val="none" w:sz="0" w:space="0" w:color="auto"/>
        <w:right w:val="none" w:sz="0" w:space="0" w:color="auto"/>
      </w:divBdr>
    </w:div>
    <w:div w:id="1871994741">
      <w:bodyDiv w:val="1"/>
      <w:marLeft w:val="0"/>
      <w:marRight w:val="0"/>
      <w:marTop w:val="0"/>
      <w:marBottom w:val="0"/>
      <w:divBdr>
        <w:top w:val="none" w:sz="0" w:space="0" w:color="auto"/>
        <w:left w:val="none" w:sz="0" w:space="0" w:color="auto"/>
        <w:bottom w:val="none" w:sz="0" w:space="0" w:color="auto"/>
        <w:right w:val="none" w:sz="0" w:space="0" w:color="auto"/>
      </w:divBdr>
    </w:div>
    <w:div w:id="1876582328">
      <w:bodyDiv w:val="1"/>
      <w:marLeft w:val="0"/>
      <w:marRight w:val="0"/>
      <w:marTop w:val="0"/>
      <w:marBottom w:val="0"/>
      <w:divBdr>
        <w:top w:val="none" w:sz="0" w:space="0" w:color="auto"/>
        <w:left w:val="none" w:sz="0" w:space="0" w:color="auto"/>
        <w:bottom w:val="none" w:sz="0" w:space="0" w:color="auto"/>
        <w:right w:val="none" w:sz="0" w:space="0" w:color="auto"/>
      </w:divBdr>
    </w:div>
    <w:div w:id="1882863209">
      <w:bodyDiv w:val="1"/>
      <w:marLeft w:val="0"/>
      <w:marRight w:val="0"/>
      <w:marTop w:val="0"/>
      <w:marBottom w:val="0"/>
      <w:divBdr>
        <w:top w:val="none" w:sz="0" w:space="0" w:color="auto"/>
        <w:left w:val="none" w:sz="0" w:space="0" w:color="auto"/>
        <w:bottom w:val="none" w:sz="0" w:space="0" w:color="auto"/>
        <w:right w:val="none" w:sz="0" w:space="0" w:color="auto"/>
      </w:divBdr>
    </w:div>
    <w:div w:id="1897084998">
      <w:bodyDiv w:val="1"/>
      <w:marLeft w:val="0"/>
      <w:marRight w:val="0"/>
      <w:marTop w:val="0"/>
      <w:marBottom w:val="0"/>
      <w:divBdr>
        <w:top w:val="none" w:sz="0" w:space="0" w:color="auto"/>
        <w:left w:val="none" w:sz="0" w:space="0" w:color="auto"/>
        <w:bottom w:val="none" w:sz="0" w:space="0" w:color="auto"/>
        <w:right w:val="none" w:sz="0" w:space="0" w:color="auto"/>
      </w:divBdr>
    </w:div>
    <w:div w:id="1899825625">
      <w:bodyDiv w:val="1"/>
      <w:marLeft w:val="0"/>
      <w:marRight w:val="0"/>
      <w:marTop w:val="0"/>
      <w:marBottom w:val="0"/>
      <w:divBdr>
        <w:top w:val="none" w:sz="0" w:space="0" w:color="auto"/>
        <w:left w:val="none" w:sz="0" w:space="0" w:color="auto"/>
        <w:bottom w:val="none" w:sz="0" w:space="0" w:color="auto"/>
        <w:right w:val="none" w:sz="0" w:space="0" w:color="auto"/>
      </w:divBdr>
      <w:divsChild>
        <w:div w:id="535041965">
          <w:marLeft w:val="0"/>
          <w:marRight w:val="0"/>
          <w:marTop w:val="15"/>
          <w:marBottom w:val="0"/>
          <w:divBdr>
            <w:top w:val="single" w:sz="48" w:space="0" w:color="auto"/>
            <w:left w:val="single" w:sz="48" w:space="0" w:color="auto"/>
            <w:bottom w:val="single" w:sz="48" w:space="0" w:color="auto"/>
            <w:right w:val="single" w:sz="48" w:space="0" w:color="auto"/>
          </w:divBdr>
          <w:divsChild>
            <w:div w:id="2897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7069">
      <w:bodyDiv w:val="1"/>
      <w:marLeft w:val="0"/>
      <w:marRight w:val="0"/>
      <w:marTop w:val="0"/>
      <w:marBottom w:val="0"/>
      <w:divBdr>
        <w:top w:val="none" w:sz="0" w:space="0" w:color="auto"/>
        <w:left w:val="none" w:sz="0" w:space="0" w:color="auto"/>
        <w:bottom w:val="none" w:sz="0" w:space="0" w:color="auto"/>
        <w:right w:val="none" w:sz="0" w:space="0" w:color="auto"/>
      </w:divBdr>
    </w:div>
    <w:div w:id="1956017064">
      <w:bodyDiv w:val="1"/>
      <w:marLeft w:val="0"/>
      <w:marRight w:val="0"/>
      <w:marTop w:val="0"/>
      <w:marBottom w:val="0"/>
      <w:divBdr>
        <w:top w:val="none" w:sz="0" w:space="0" w:color="auto"/>
        <w:left w:val="none" w:sz="0" w:space="0" w:color="auto"/>
        <w:bottom w:val="none" w:sz="0" w:space="0" w:color="auto"/>
        <w:right w:val="none" w:sz="0" w:space="0" w:color="auto"/>
      </w:divBdr>
    </w:div>
    <w:div w:id="1965847459">
      <w:bodyDiv w:val="1"/>
      <w:marLeft w:val="0"/>
      <w:marRight w:val="0"/>
      <w:marTop w:val="0"/>
      <w:marBottom w:val="0"/>
      <w:divBdr>
        <w:top w:val="none" w:sz="0" w:space="0" w:color="auto"/>
        <w:left w:val="none" w:sz="0" w:space="0" w:color="auto"/>
        <w:bottom w:val="none" w:sz="0" w:space="0" w:color="auto"/>
        <w:right w:val="none" w:sz="0" w:space="0" w:color="auto"/>
      </w:divBdr>
    </w:div>
    <w:div w:id="1969966655">
      <w:bodyDiv w:val="1"/>
      <w:marLeft w:val="0"/>
      <w:marRight w:val="0"/>
      <w:marTop w:val="0"/>
      <w:marBottom w:val="0"/>
      <w:divBdr>
        <w:top w:val="none" w:sz="0" w:space="0" w:color="auto"/>
        <w:left w:val="none" w:sz="0" w:space="0" w:color="auto"/>
        <w:bottom w:val="none" w:sz="0" w:space="0" w:color="auto"/>
        <w:right w:val="none" w:sz="0" w:space="0" w:color="auto"/>
      </w:divBdr>
    </w:div>
    <w:div w:id="1971858108">
      <w:bodyDiv w:val="1"/>
      <w:marLeft w:val="0"/>
      <w:marRight w:val="0"/>
      <w:marTop w:val="0"/>
      <w:marBottom w:val="0"/>
      <w:divBdr>
        <w:top w:val="none" w:sz="0" w:space="0" w:color="auto"/>
        <w:left w:val="none" w:sz="0" w:space="0" w:color="auto"/>
        <w:bottom w:val="none" w:sz="0" w:space="0" w:color="auto"/>
        <w:right w:val="none" w:sz="0" w:space="0" w:color="auto"/>
      </w:divBdr>
    </w:div>
    <w:div w:id="1985969663">
      <w:bodyDiv w:val="1"/>
      <w:marLeft w:val="0"/>
      <w:marRight w:val="0"/>
      <w:marTop w:val="0"/>
      <w:marBottom w:val="0"/>
      <w:divBdr>
        <w:top w:val="none" w:sz="0" w:space="0" w:color="auto"/>
        <w:left w:val="none" w:sz="0" w:space="0" w:color="auto"/>
        <w:bottom w:val="none" w:sz="0" w:space="0" w:color="auto"/>
        <w:right w:val="none" w:sz="0" w:space="0" w:color="auto"/>
      </w:divBdr>
    </w:div>
    <w:div w:id="1991325448">
      <w:bodyDiv w:val="1"/>
      <w:marLeft w:val="0"/>
      <w:marRight w:val="0"/>
      <w:marTop w:val="0"/>
      <w:marBottom w:val="0"/>
      <w:divBdr>
        <w:top w:val="none" w:sz="0" w:space="0" w:color="auto"/>
        <w:left w:val="none" w:sz="0" w:space="0" w:color="auto"/>
        <w:bottom w:val="none" w:sz="0" w:space="0" w:color="auto"/>
        <w:right w:val="none" w:sz="0" w:space="0" w:color="auto"/>
      </w:divBdr>
    </w:div>
    <w:div w:id="1991597080">
      <w:bodyDiv w:val="1"/>
      <w:marLeft w:val="0"/>
      <w:marRight w:val="0"/>
      <w:marTop w:val="0"/>
      <w:marBottom w:val="0"/>
      <w:divBdr>
        <w:top w:val="none" w:sz="0" w:space="0" w:color="auto"/>
        <w:left w:val="none" w:sz="0" w:space="0" w:color="auto"/>
        <w:bottom w:val="none" w:sz="0" w:space="0" w:color="auto"/>
        <w:right w:val="none" w:sz="0" w:space="0" w:color="auto"/>
      </w:divBdr>
    </w:div>
    <w:div w:id="1994865380">
      <w:bodyDiv w:val="1"/>
      <w:marLeft w:val="0"/>
      <w:marRight w:val="0"/>
      <w:marTop w:val="0"/>
      <w:marBottom w:val="0"/>
      <w:divBdr>
        <w:top w:val="none" w:sz="0" w:space="0" w:color="auto"/>
        <w:left w:val="none" w:sz="0" w:space="0" w:color="auto"/>
        <w:bottom w:val="none" w:sz="0" w:space="0" w:color="auto"/>
        <w:right w:val="none" w:sz="0" w:space="0" w:color="auto"/>
      </w:divBdr>
      <w:divsChild>
        <w:div w:id="97141456">
          <w:marLeft w:val="0"/>
          <w:marRight w:val="0"/>
          <w:marTop w:val="0"/>
          <w:marBottom w:val="0"/>
          <w:divBdr>
            <w:top w:val="none" w:sz="0" w:space="0" w:color="auto"/>
            <w:left w:val="none" w:sz="0" w:space="0" w:color="auto"/>
            <w:bottom w:val="none" w:sz="0" w:space="0" w:color="auto"/>
            <w:right w:val="none" w:sz="0" w:space="0" w:color="auto"/>
          </w:divBdr>
        </w:div>
        <w:div w:id="154611571">
          <w:marLeft w:val="0"/>
          <w:marRight w:val="0"/>
          <w:marTop w:val="0"/>
          <w:marBottom w:val="0"/>
          <w:divBdr>
            <w:top w:val="none" w:sz="0" w:space="0" w:color="auto"/>
            <w:left w:val="none" w:sz="0" w:space="0" w:color="auto"/>
            <w:bottom w:val="none" w:sz="0" w:space="0" w:color="auto"/>
            <w:right w:val="none" w:sz="0" w:space="0" w:color="auto"/>
          </w:divBdr>
        </w:div>
        <w:div w:id="206110852">
          <w:marLeft w:val="0"/>
          <w:marRight w:val="0"/>
          <w:marTop w:val="0"/>
          <w:marBottom w:val="0"/>
          <w:divBdr>
            <w:top w:val="none" w:sz="0" w:space="0" w:color="auto"/>
            <w:left w:val="none" w:sz="0" w:space="0" w:color="auto"/>
            <w:bottom w:val="none" w:sz="0" w:space="0" w:color="auto"/>
            <w:right w:val="none" w:sz="0" w:space="0" w:color="auto"/>
          </w:divBdr>
        </w:div>
        <w:div w:id="247426899">
          <w:marLeft w:val="0"/>
          <w:marRight w:val="0"/>
          <w:marTop w:val="0"/>
          <w:marBottom w:val="0"/>
          <w:divBdr>
            <w:top w:val="none" w:sz="0" w:space="0" w:color="auto"/>
            <w:left w:val="none" w:sz="0" w:space="0" w:color="auto"/>
            <w:bottom w:val="none" w:sz="0" w:space="0" w:color="auto"/>
            <w:right w:val="none" w:sz="0" w:space="0" w:color="auto"/>
          </w:divBdr>
        </w:div>
        <w:div w:id="462311237">
          <w:marLeft w:val="0"/>
          <w:marRight w:val="0"/>
          <w:marTop w:val="0"/>
          <w:marBottom w:val="0"/>
          <w:divBdr>
            <w:top w:val="none" w:sz="0" w:space="0" w:color="auto"/>
            <w:left w:val="none" w:sz="0" w:space="0" w:color="auto"/>
            <w:bottom w:val="none" w:sz="0" w:space="0" w:color="auto"/>
            <w:right w:val="none" w:sz="0" w:space="0" w:color="auto"/>
          </w:divBdr>
        </w:div>
        <w:div w:id="784229164">
          <w:marLeft w:val="0"/>
          <w:marRight w:val="0"/>
          <w:marTop w:val="0"/>
          <w:marBottom w:val="0"/>
          <w:divBdr>
            <w:top w:val="none" w:sz="0" w:space="0" w:color="auto"/>
            <w:left w:val="none" w:sz="0" w:space="0" w:color="auto"/>
            <w:bottom w:val="none" w:sz="0" w:space="0" w:color="auto"/>
            <w:right w:val="none" w:sz="0" w:space="0" w:color="auto"/>
          </w:divBdr>
        </w:div>
        <w:div w:id="901789153">
          <w:marLeft w:val="0"/>
          <w:marRight w:val="0"/>
          <w:marTop w:val="0"/>
          <w:marBottom w:val="0"/>
          <w:divBdr>
            <w:top w:val="none" w:sz="0" w:space="0" w:color="auto"/>
            <w:left w:val="none" w:sz="0" w:space="0" w:color="auto"/>
            <w:bottom w:val="none" w:sz="0" w:space="0" w:color="auto"/>
            <w:right w:val="none" w:sz="0" w:space="0" w:color="auto"/>
          </w:divBdr>
        </w:div>
        <w:div w:id="1034575335">
          <w:marLeft w:val="0"/>
          <w:marRight w:val="0"/>
          <w:marTop w:val="0"/>
          <w:marBottom w:val="0"/>
          <w:divBdr>
            <w:top w:val="none" w:sz="0" w:space="0" w:color="auto"/>
            <w:left w:val="none" w:sz="0" w:space="0" w:color="auto"/>
            <w:bottom w:val="none" w:sz="0" w:space="0" w:color="auto"/>
            <w:right w:val="none" w:sz="0" w:space="0" w:color="auto"/>
          </w:divBdr>
        </w:div>
        <w:div w:id="1111432718">
          <w:marLeft w:val="0"/>
          <w:marRight w:val="0"/>
          <w:marTop w:val="0"/>
          <w:marBottom w:val="0"/>
          <w:divBdr>
            <w:top w:val="none" w:sz="0" w:space="0" w:color="auto"/>
            <w:left w:val="none" w:sz="0" w:space="0" w:color="auto"/>
            <w:bottom w:val="none" w:sz="0" w:space="0" w:color="auto"/>
            <w:right w:val="none" w:sz="0" w:space="0" w:color="auto"/>
          </w:divBdr>
        </w:div>
        <w:div w:id="1639067895">
          <w:marLeft w:val="0"/>
          <w:marRight w:val="0"/>
          <w:marTop w:val="0"/>
          <w:marBottom w:val="0"/>
          <w:divBdr>
            <w:top w:val="none" w:sz="0" w:space="0" w:color="auto"/>
            <w:left w:val="none" w:sz="0" w:space="0" w:color="auto"/>
            <w:bottom w:val="none" w:sz="0" w:space="0" w:color="auto"/>
            <w:right w:val="none" w:sz="0" w:space="0" w:color="auto"/>
          </w:divBdr>
        </w:div>
        <w:div w:id="1897424113">
          <w:marLeft w:val="0"/>
          <w:marRight w:val="0"/>
          <w:marTop w:val="0"/>
          <w:marBottom w:val="0"/>
          <w:divBdr>
            <w:top w:val="none" w:sz="0" w:space="0" w:color="auto"/>
            <w:left w:val="none" w:sz="0" w:space="0" w:color="auto"/>
            <w:bottom w:val="none" w:sz="0" w:space="0" w:color="auto"/>
            <w:right w:val="none" w:sz="0" w:space="0" w:color="auto"/>
          </w:divBdr>
        </w:div>
      </w:divsChild>
    </w:div>
    <w:div w:id="2019887525">
      <w:bodyDiv w:val="1"/>
      <w:marLeft w:val="0"/>
      <w:marRight w:val="0"/>
      <w:marTop w:val="0"/>
      <w:marBottom w:val="0"/>
      <w:divBdr>
        <w:top w:val="none" w:sz="0" w:space="0" w:color="auto"/>
        <w:left w:val="none" w:sz="0" w:space="0" w:color="auto"/>
        <w:bottom w:val="none" w:sz="0" w:space="0" w:color="auto"/>
        <w:right w:val="none" w:sz="0" w:space="0" w:color="auto"/>
      </w:divBdr>
    </w:div>
    <w:div w:id="2025201419">
      <w:bodyDiv w:val="1"/>
      <w:marLeft w:val="0"/>
      <w:marRight w:val="0"/>
      <w:marTop w:val="0"/>
      <w:marBottom w:val="0"/>
      <w:divBdr>
        <w:top w:val="none" w:sz="0" w:space="0" w:color="auto"/>
        <w:left w:val="none" w:sz="0" w:space="0" w:color="auto"/>
        <w:bottom w:val="none" w:sz="0" w:space="0" w:color="auto"/>
        <w:right w:val="none" w:sz="0" w:space="0" w:color="auto"/>
      </w:divBdr>
    </w:div>
    <w:div w:id="2027168824">
      <w:bodyDiv w:val="1"/>
      <w:marLeft w:val="0"/>
      <w:marRight w:val="0"/>
      <w:marTop w:val="0"/>
      <w:marBottom w:val="0"/>
      <w:divBdr>
        <w:top w:val="none" w:sz="0" w:space="0" w:color="auto"/>
        <w:left w:val="none" w:sz="0" w:space="0" w:color="auto"/>
        <w:bottom w:val="none" w:sz="0" w:space="0" w:color="auto"/>
        <w:right w:val="none" w:sz="0" w:space="0" w:color="auto"/>
      </w:divBdr>
    </w:div>
    <w:div w:id="2027363044">
      <w:bodyDiv w:val="1"/>
      <w:marLeft w:val="0"/>
      <w:marRight w:val="0"/>
      <w:marTop w:val="0"/>
      <w:marBottom w:val="0"/>
      <w:divBdr>
        <w:top w:val="none" w:sz="0" w:space="0" w:color="auto"/>
        <w:left w:val="none" w:sz="0" w:space="0" w:color="auto"/>
        <w:bottom w:val="none" w:sz="0" w:space="0" w:color="auto"/>
        <w:right w:val="none" w:sz="0" w:space="0" w:color="auto"/>
      </w:divBdr>
    </w:div>
    <w:div w:id="2030065736">
      <w:bodyDiv w:val="1"/>
      <w:marLeft w:val="0"/>
      <w:marRight w:val="0"/>
      <w:marTop w:val="0"/>
      <w:marBottom w:val="0"/>
      <w:divBdr>
        <w:top w:val="none" w:sz="0" w:space="0" w:color="auto"/>
        <w:left w:val="none" w:sz="0" w:space="0" w:color="auto"/>
        <w:bottom w:val="none" w:sz="0" w:space="0" w:color="auto"/>
        <w:right w:val="none" w:sz="0" w:space="0" w:color="auto"/>
      </w:divBdr>
    </w:div>
    <w:div w:id="2083093890">
      <w:bodyDiv w:val="1"/>
      <w:marLeft w:val="0"/>
      <w:marRight w:val="0"/>
      <w:marTop w:val="0"/>
      <w:marBottom w:val="0"/>
      <w:divBdr>
        <w:top w:val="none" w:sz="0" w:space="0" w:color="auto"/>
        <w:left w:val="none" w:sz="0" w:space="0" w:color="auto"/>
        <w:bottom w:val="none" w:sz="0" w:space="0" w:color="auto"/>
        <w:right w:val="none" w:sz="0" w:space="0" w:color="auto"/>
      </w:divBdr>
    </w:div>
    <w:div w:id="2103446938">
      <w:bodyDiv w:val="1"/>
      <w:marLeft w:val="0"/>
      <w:marRight w:val="0"/>
      <w:marTop w:val="0"/>
      <w:marBottom w:val="0"/>
      <w:divBdr>
        <w:top w:val="none" w:sz="0" w:space="0" w:color="auto"/>
        <w:left w:val="none" w:sz="0" w:space="0" w:color="auto"/>
        <w:bottom w:val="none" w:sz="0" w:space="0" w:color="auto"/>
        <w:right w:val="none" w:sz="0" w:space="0" w:color="auto"/>
      </w:divBdr>
    </w:div>
    <w:div w:id="2104254418">
      <w:bodyDiv w:val="1"/>
      <w:marLeft w:val="0"/>
      <w:marRight w:val="0"/>
      <w:marTop w:val="0"/>
      <w:marBottom w:val="0"/>
      <w:divBdr>
        <w:top w:val="none" w:sz="0" w:space="0" w:color="auto"/>
        <w:left w:val="none" w:sz="0" w:space="0" w:color="auto"/>
        <w:bottom w:val="none" w:sz="0" w:space="0" w:color="auto"/>
        <w:right w:val="none" w:sz="0" w:space="0" w:color="auto"/>
      </w:divBdr>
    </w:div>
    <w:div w:id="2133163477">
      <w:bodyDiv w:val="1"/>
      <w:marLeft w:val="0"/>
      <w:marRight w:val="0"/>
      <w:marTop w:val="0"/>
      <w:marBottom w:val="0"/>
      <w:divBdr>
        <w:top w:val="none" w:sz="0" w:space="0" w:color="auto"/>
        <w:left w:val="none" w:sz="0" w:space="0" w:color="auto"/>
        <w:bottom w:val="none" w:sz="0" w:space="0" w:color="auto"/>
        <w:right w:val="none" w:sz="0" w:space="0" w:color="auto"/>
      </w:divBdr>
    </w:div>
    <w:div w:id="21356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ydraulicfracturing.nt.gov.au/action-items/7.10" TargetMode="External"/><Relationship Id="rId117" Type="http://schemas.openxmlformats.org/officeDocument/2006/relationships/fontTable" Target="fontTable.xml"/><Relationship Id="rId21" Type="http://schemas.openxmlformats.org/officeDocument/2006/relationships/hyperlink" Target="https://denr.nt.gov.au/environment-information/onshore-gas-in-the-northern-territory/code-of-practice-onshore-petroleum-activities-in-the-nt" TargetMode="External"/><Relationship Id="rId42" Type="http://schemas.openxmlformats.org/officeDocument/2006/relationships/hyperlink" Target="https://depws.nt.gov.au/onshore-gas/onshore-gas-in-the-northern-territory/code-of-practice-onshore-petroleum-activities-in-the-nt" TargetMode="External"/><Relationship Id="rId47" Type="http://schemas.openxmlformats.org/officeDocument/2006/relationships/hyperlink" Target="https://depws.nt.gov.au/onshore-gas/onshore-gas-in-the-northern-territory/code-of-practice-onshore-petroleum-activities-in-the-nt" TargetMode="External"/><Relationship Id="rId63" Type="http://schemas.openxmlformats.org/officeDocument/2006/relationships/hyperlink" Target="https://minerals.nt.gov.au/__data/assets/pdf_file/0007/256786/Exploration-Permit-Application-Guideline.pdf" TargetMode="External"/><Relationship Id="rId68" Type="http://schemas.openxmlformats.org/officeDocument/2006/relationships/hyperlink" Target="https://cmc.nt.gov.au/__data/assets/pdf_file/0005/1052897/q19-0139-kpmg-final-report.pdf" TargetMode="External"/><Relationship Id="rId84" Type="http://schemas.openxmlformats.org/officeDocument/2006/relationships/hyperlink" Target="https://nt.gov.au/__data/assets/pdf_file/0010/1179397/s64.pdf" TargetMode="External"/><Relationship Id="rId89" Type="http://schemas.openxmlformats.org/officeDocument/2006/relationships/hyperlink" Target="https://nt.gov.au/industry/mining-and-petroleum/land-tenure-and-availability/petroleum-reserved-blocks" TargetMode="External"/><Relationship Id="rId112" Type="http://schemas.openxmlformats.org/officeDocument/2006/relationships/hyperlink" Target="https://hydraulicfracturing.nt.gov.au/__data/assets/pdf_file/0004/673123/fracking_implementation_plan.pdf" TargetMode="External"/><Relationship Id="rId16" Type="http://schemas.openxmlformats.org/officeDocument/2006/relationships/hyperlink" Target="https://denr.nt.gov.au/environment-information/onshore-gas-in-the-northern-territory/code-of-practice-onshore-petroleum-activities-in-the-nt" TargetMode="External"/><Relationship Id="rId107" Type="http://schemas.openxmlformats.org/officeDocument/2006/relationships/hyperlink" Target="https://nt.gov.au/__data/assets/pdf_file/0010/1179397/s64.pdf" TargetMode="External"/><Relationship Id="rId11" Type="http://schemas.openxmlformats.org/officeDocument/2006/relationships/hyperlink" Target="https://frackinginquiry.nt.gov.au/home" TargetMode="External"/><Relationship Id="rId32" Type="http://schemas.openxmlformats.org/officeDocument/2006/relationships/hyperlink" Target="https://depws.nt.gov.au/onshore-gas/onshore-gas-in-the-northern-territory/code-of-practice-onshore-petroleum-activities-in-the-nt" TargetMode="External"/><Relationship Id="rId37" Type="http://schemas.openxmlformats.org/officeDocument/2006/relationships/hyperlink" Target="https://denr.nt.gov.au/__data/assets/pdf_file/0006/708558/weed-management-planning-guide-onshore-petroleum-projects.pdf" TargetMode="External"/><Relationship Id="rId53" Type="http://schemas.openxmlformats.org/officeDocument/2006/relationships/hyperlink" Target="https://depws.nt.gov.au/onshore-gas/onshore-gas-in-the-northern-territory/code-of-practice-onshore-petroleum-activities-in-the-nt" TargetMode="External"/><Relationship Id="rId58" Type="http://schemas.openxmlformats.org/officeDocument/2006/relationships/hyperlink" Target="https://depws.nt.gov.au/onshore-gas/onshore-gas-in-the-northern-territory/code-of-practice-onshore-petroleum-activities-in-the-nt" TargetMode="External"/><Relationship Id="rId74" Type="http://schemas.openxmlformats.org/officeDocument/2006/relationships/hyperlink" Target="https://cmc.nt.gov.au/__data/assets/pdf_file/0011/1123778/regional-development-framework.pdf" TargetMode="External"/><Relationship Id="rId79" Type="http://schemas.openxmlformats.org/officeDocument/2006/relationships/hyperlink" Target="https://icn.org.au/publications" TargetMode="External"/><Relationship Id="rId102" Type="http://schemas.openxmlformats.org/officeDocument/2006/relationships/hyperlink" Target="https://depws.nt.gov.au/onshore-gas/onshore-gas-in-the-northern-territory/onshore-gas-non-compliance-hotline" TargetMode="External"/><Relationship Id="rId5" Type="http://schemas.openxmlformats.org/officeDocument/2006/relationships/numbering" Target="numbering.xml"/><Relationship Id="rId90" Type="http://schemas.openxmlformats.org/officeDocument/2006/relationships/hyperlink" Target="https://nt.gov.au/__data/assets/pdf_file/0010/1179397/s64.pdf" TargetMode="External"/><Relationship Id="rId95" Type="http://schemas.openxmlformats.org/officeDocument/2006/relationships/hyperlink" Target="https://hydraulicfracturing.nt.gov.au/action-items" TargetMode="External"/><Relationship Id="rId22" Type="http://schemas.openxmlformats.org/officeDocument/2006/relationships/hyperlink" Target="https://nt.gov.au/industry/mining-and-energy/petroleum-activities/petroleum-operations-forms-and-guidelines" TargetMode="External"/><Relationship Id="rId27" Type="http://schemas.openxmlformats.org/officeDocument/2006/relationships/hyperlink" Target="https://depws.nt.gov.au/onshore-gas/onshore-gas-in-the-northern-territory/code-of-practice-onshore-petroleum-activities-in-the-nt" TargetMode="External"/><Relationship Id="rId43" Type="http://schemas.openxmlformats.org/officeDocument/2006/relationships/hyperlink" Target="https://depws.nt.gov.au/onshore-gas/onshore-gas-in-the-northern-territory/code-of-practice-onshore-petroleum-activities-in-the-nt" TargetMode="External"/><Relationship Id="rId48" Type="http://schemas.openxmlformats.org/officeDocument/2006/relationships/hyperlink" Target="https://depws.nt.gov.au/onshore-gas/onshore-gas-in-the-northern-territory/code-of-practice-onshore-petroleum-activities-in-the-nt" TargetMode="External"/><Relationship Id="rId64" Type="http://schemas.openxmlformats.org/officeDocument/2006/relationships/hyperlink" Target="https://hydraulicfracturing.nt.gov.au/resources/principles-when-using-aboriginal-interpreters" TargetMode="External"/><Relationship Id="rId69" Type="http://schemas.openxmlformats.org/officeDocument/2006/relationships/hyperlink" Target="https://gisera.csiro.au/research/social-and-economic-impacts-and-opportunities/mapping-future-transport-passages-and-volumes-for-improved-planning-and-operation" TargetMode="External"/><Relationship Id="rId113" Type="http://schemas.openxmlformats.org/officeDocument/2006/relationships/hyperlink" Target="https://earthjustice.sharepoint.com/sites/Australia/Shared%20Documents/Gas/EDO%20Northern%20Territory/Pepper%20Inquiry%20Implementation/hydraulicfracturing.nt.gov.au" TargetMode="External"/><Relationship Id="rId118" Type="http://schemas.openxmlformats.org/officeDocument/2006/relationships/theme" Target="theme/theme1.xml"/><Relationship Id="rId80" Type="http://schemas.openxmlformats.org/officeDocument/2006/relationships/hyperlink" Target="https://icn.org.au/who-are-we/our-team/" TargetMode="External"/><Relationship Id="rId85" Type="http://schemas.openxmlformats.org/officeDocument/2006/relationships/hyperlink" Target="https://nt.gov.au/industry/mining-and-petroleum/land-tenure-and-availability/petroleum-reserved-blocks" TargetMode="External"/><Relationship Id="rId12" Type="http://schemas.openxmlformats.org/officeDocument/2006/relationships/hyperlink" Target="https://hydraulicfracturing.nt.gov.au/action-items" TargetMode="External"/><Relationship Id="rId17" Type="http://schemas.openxmlformats.org/officeDocument/2006/relationships/hyperlink" Target="https://hydraulicfracturing.nt.gov.au/action-items/14.14" TargetMode="External"/><Relationship Id="rId33" Type="http://schemas.openxmlformats.org/officeDocument/2006/relationships/hyperlink" Target="https://depws.nt.gov.au/onshore-gas/onshore-gas-in-the-northern-territory" TargetMode="External"/><Relationship Id="rId38" Type="http://schemas.openxmlformats.org/officeDocument/2006/relationships/hyperlink" Target="https://denr.nt.gov.au/__data/assets/pdf_file/0006/708558/weed-management-planning-guide-onshore-petroleum-projects.pdf" TargetMode="External"/><Relationship Id="rId59" Type="http://schemas.openxmlformats.org/officeDocument/2006/relationships/hyperlink" Target="https://hydraulicfracturing.nt.gov.au/action-items" TargetMode="External"/><Relationship Id="rId103" Type="http://schemas.openxmlformats.org/officeDocument/2006/relationships/hyperlink" Target="https://nt.gov.au/__data/assets/pdf_file/0010/1179397/s64.pdf" TargetMode="External"/><Relationship Id="rId108" Type="http://schemas.openxmlformats.org/officeDocument/2006/relationships/hyperlink" Target="https://nt.gov.au/__data/assets/pdf_file/0010/1179397/s64.pdf" TargetMode="External"/><Relationship Id="rId54" Type="http://schemas.openxmlformats.org/officeDocument/2006/relationships/hyperlink" Target="https://denr.nt.gov.au/onshore-gas/onshore-gas-in-the-northern-territory/code-of-practice-onshore-petroleum-activities-in-the-nt" TargetMode="External"/><Relationship Id="rId70" Type="http://schemas.openxmlformats.org/officeDocument/2006/relationships/hyperlink" Target="https://gisera.csiro.au/research/social-and-economic-impacts-and-opportunities/mapping-future-transport-passages-and-volumes-for-improved-planning-and-operation" TargetMode="External"/><Relationship Id="rId75" Type="http://schemas.openxmlformats.org/officeDocument/2006/relationships/hyperlink" Target="https://aboriginalaffairs.nt.gov.au/__data/assets/pdf_file/0004/983371/ldm-policy.pdf" TargetMode="External"/><Relationship Id="rId91" Type="http://schemas.openxmlformats.org/officeDocument/2006/relationships/hyperlink" Target="https://nt.gov.au/__data/assets/pdf_file/0010/1179397/s64.pdf" TargetMode="External"/><Relationship Id="rId96" Type="http://schemas.openxmlformats.org/officeDocument/2006/relationships/hyperlink" Target="https://legislation.nt.gov.au/api/sitecore/Bill/BPDF?id=1925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nt.gov.au/__data/assets/pdf_file/0010/1179397/s64.pdf" TargetMode="External"/><Relationship Id="rId28" Type="http://schemas.openxmlformats.org/officeDocument/2006/relationships/hyperlink" Target="https://depws.nt.gov.au/onshore-gas/onshore-gas-in-the-northern-territory" TargetMode="External"/><Relationship Id="rId49" Type="http://schemas.openxmlformats.org/officeDocument/2006/relationships/hyperlink" Target="https://depws.nt.gov.au/onshore-gas/onshore-gas-in-the-northern-territory/code-of-practice-onshore-petroleum-activities-in-the-nt" TargetMode="External"/><Relationship Id="rId114" Type="http://schemas.openxmlformats.org/officeDocument/2006/relationships/hyperlink" Target="https://hydraulicfracturing.nt.gov.au/about/governance/reference-group" TargetMode="External"/><Relationship Id="rId10" Type="http://schemas.openxmlformats.org/officeDocument/2006/relationships/endnotes" Target="endnotes.xml"/><Relationship Id="rId31" Type="http://schemas.openxmlformats.org/officeDocument/2006/relationships/hyperlink" Target="https://depws.nt.gov.au/onshore-gas/onshore-gas-in-the-northern-territory/code-of-practice-onshore-petroleum-activities-in-the-nt" TargetMode="External"/><Relationship Id="rId44" Type="http://schemas.openxmlformats.org/officeDocument/2006/relationships/hyperlink" Target="https://depws.nt.gov.au/onshore-gas/onshore-gas-in-the-northern-territory/code-of-practice-onshore-petroleum-activities-in-the-nt" TargetMode="External"/><Relationship Id="rId52" Type="http://schemas.openxmlformats.org/officeDocument/2006/relationships/hyperlink" Target="https://cmc.nt.gov.au/__data/assets/pdf_file/0005/1052897/q19-0139-kpmg-final-report.pdf" TargetMode="External"/><Relationship Id="rId60" Type="http://schemas.openxmlformats.org/officeDocument/2006/relationships/hyperlink" Target="https://depws.nt.gov.au/onshore-gas/onshore-gas-in-the-northern-territory/code-of-practice-onshore-petroleum-activities-in-the-nt" TargetMode="External"/><Relationship Id="rId65" Type="http://schemas.openxmlformats.org/officeDocument/2006/relationships/hyperlink" Target="https://hydraulicfracturing.nt.gov.au/resources/information-in-aboriginal-languages" TargetMode="External"/><Relationship Id="rId73" Type="http://schemas.openxmlformats.org/officeDocument/2006/relationships/hyperlink" Target="https://barklyregionaldeal.com.au/" TargetMode="External"/><Relationship Id="rId78" Type="http://schemas.openxmlformats.org/officeDocument/2006/relationships/hyperlink" Target="https://industry.nt.gov.au/projects-and-initiatives/business/gas-service-and-supply-plan" TargetMode="External"/><Relationship Id="rId81" Type="http://schemas.openxmlformats.org/officeDocument/2006/relationships/hyperlink" Target="https://www.indigenous.gov.au/news-and-media/announcements/northern-territory-business-hub-provider-signs" TargetMode="External"/><Relationship Id="rId86" Type="http://schemas.openxmlformats.org/officeDocument/2006/relationships/hyperlink" Target="https://nt.gov.au/industry/mining-and-petroleum/land-tenure-and-availability/petroleum-reserved-blocks" TargetMode="External"/><Relationship Id="rId94" Type="http://schemas.openxmlformats.org/officeDocument/2006/relationships/hyperlink" Target="https://denr.nt.gov.au/rangelands/guidelines-and-management-plans2/land-clearing-guidelines-and-management-plans" TargetMode="External"/><Relationship Id="rId99" Type="http://schemas.openxmlformats.org/officeDocument/2006/relationships/hyperlink" Target="https://nt.gov.au/__data/assets/pdf_file/0010/1179397/s64.pdf" TargetMode="External"/><Relationship Id="rId101" Type="http://schemas.openxmlformats.org/officeDocument/2006/relationships/hyperlink" Target="https://denr.nt.gov.au/__data/assets/pdf_file/0007/715543/Monitoring-and-compliance-strategy.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nr.nt.gov.au/environment-information/onshore-gas-in-the-northern-territory/code-of-practice-onshore-petroleum-activities-in-the-nt" TargetMode="External"/><Relationship Id="rId18" Type="http://schemas.openxmlformats.org/officeDocument/2006/relationships/hyperlink" Target="https://denr.nt.gov.au/environment-information/onshore-gas-in-the-northern-territory/code-of-practice-onshore-petroleum-activities-in-the-nt" TargetMode="External"/><Relationship Id="rId39" Type="http://schemas.openxmlformats.org/officeDocument/2006/relationships/hyperlink" Target="https://denr.nt.gov.au/onshore-gas/onshore-gas-in-the-northern-territory/code-of-practice-onshore-petroleum-activities-in-the-nt" TargetMode="External"/><Relationship Id="rId109" Type="http://schemas.openxmlformats.org/officeDocument/2006/relationships/hyperlink" Target="https://nt.gov.au/__data/assets/pdf_file/0010/1179397/s64.pdf" TargetMode="External"/><Relationship Id="rId34" Type="http://schemas.openxmlformats.org/officeDocument/2006/relationships/hyperlink" Target="https://depws.nt.gov.au/onshore-gas/onshore-gas-in-the-northern-territory/code-of-practice-onshore-petroleum-activities-in-the-nt" TargetMode="External"/><Relationship Id="rId50" Type="http://schemas.openxmlformats.org/officeDocument/2006/relationships/hyperlink" Target="https://depws.nt.gov.au/onshore-gas/onshore-gas-in-the-northern-territory/code-of-practice-onshore-petroleum-activities-in-the-nt" TargetMode="External"/><Relationship Id="rId55" Type="http://schemas.openxmlformats.org/officeDocument/2006/relationships/hyperlink" Target="https://depws.nt.gov.au/onshore-gas/onshore-gas-in-the-northern-territory/code-of-practice-onshore-petroleum-activities-in-the-nt" TargetMode="External"/><Relationship Id="rId76" Type="http://schemas.openxmlformats.org/officeDocument/2006/relationships/hyperlink" Target="https://cmc.nt.gov.au/__data/assets/pdf_file/0011/1123778/regional-development-framework.pdf" TargetMode="External"/><Relationship Id="rId97" Type="http://schemas.openxmlformats.org/officeDocument/2006/relationships/hyperlink" Target="https://nt.gov.au/__data/assets/pdf_file/0010/1179397/s64.pdf" TargetMode="External"/><Relationship Id="rId104" Type="http://schemas.openxmlformats.org/officeDocument/2006/relationships/hyperlink" Target="https://www.claytonutz.com/knowledge/2022/december/northern-territory-extends-liability-for-environmental-offences-to-related-entities-in-the-onshore-petroleum-industry#:~:text=On%2012%20October%202022%2C%20the,amendments%2C%20on%2020%20November%202022." TargetMode="External"/><Relationship Id="rId7" Type="http://schemas.openxmlformats.org/officeDocument/2006/relationships/settings" Target="settings.xml"/><Relationship Id="rId71" Type="http://schemas.openxmlformats.org/officeDocument/2006/relationships/hyperlink" Target="https://gisera.csiro.au/research/social-and-economic-impacts-and-opportunities/mapping-future-transport-passages-and-volumes-for-improved-planning-and-operation" TargetMode="External"/><Relationship Id="rId92" Type="http://schemas.openxmlformats.org/officeDocument/2006/relationships/hyperlink" Target="https://depws.nt.gov.au/onshore-gas/onshore-gas-in-the-northern-territory/code-of-practice-onshore-petroleum-activities-in-the-nt" TargetMode="External"/><Relationship Id="rId2" Type="http://schemas.openxmlformats.org/officeDocument/2006/relationships/customXml" Target="../customXml/item2.xml"/><Relationship Id="rId29" Type="http://schemas.openxmlformats.org/officeDocument/2006/relationships/hyperlink" Target="https://denr.nt.gov.au/__data/assets/pdf_file/0009/618957/Preliminary-Guideline-Petroleum-Well-Water-Quality-Monitoring.pdf" TargetMode="External"/><Relationship Id="rId24" Type="http://schemas.openxmlformats.org/officeDocument/2006/relationships/hyperlink" Target="https://www.dcceew.gov.au/sites/default/files/env/consultations/81536a00-45ea-4aba-982c-5c52a100cc15/files/risk-assessment-guidance-manual-chemicals-associated-csg-extraction-australia-exposure-draft.pdf" TargetMode="External"/><Relationship Id="rId40" Type="http://schemas.openxmlformats.org/officeDocument/2006/relationships/hyperlink" Target="https://depws.nt.gov.au/onshore-gas/onshore-gas-in-the-northern-territory" TargetMode="External"/><Relationship Id="rId45" Type="http://schemas.openxmlformats.org/officeDocument/2006/relationships/hyperlink" Target="https://depws.nt.gov.au/onshore-gas/onshore-gas-in-the-northern-territory/code-of-practice-onshore-petroleum-activities-in-the-nt" TargetMode="External"/><Relationship Id="rId66" Type="http://schemas.openxmlformats.org/officeDocument/2006/relationships/hyperlink" Target="https://www.austrade.gov.au/land-tenure/engagement-guide/northern-territory-information-on-engaging-with-traditional-owners-and-land-councils" TargetMode="External"/><Relationship Id="rId87" Type="http://schemas.openxmlformats.org/officeDocument/2006/relationships/hyperlink" Target="https://nt.gov.au/__data/assets/pdf_file/0005/715631/petroleum-reserved-block-policy.pdf" TargetMode="External"/><Relationship Id="rId110" Type="http://schemas.openxmlformats.org/officeDocument/2006/relationships/hyperlink" Target="https://justice.nt.gov.au/attorney-general-and-justice/units-and-amounts/penalty-units" TargetMode="External"/><Relationship Id="rId115" Type="http://schemas.openxmlformats.org/officeDocument/2006/relationships/hyperlink" Target="https://hydraulicfracturing.nt.gov.au/about/government-accepts-all-recommendations-of-the-inquiry" TargetMode="External"/><Relationship Id="rId61" Type="http://schemas.openxmlformats.org/officeDocument/2006/relationships/hyperlink" Target="https://nt.gov.au/__data/assets/pdf_file/0010/1179397/s64.pdf" TargetMode="External"/><Relationship Id="rId82" Type="http://schemas.openxmlformats.org/officeDocument/2006/relationships/hyperlink" Target="https://gisera.csiro.au/research/social-and-economic-impacts-and-opportunities/mapping-future-transport-passages-and-volumes-for-improved-planning-and-operation" TargetMode="External"/><Relationship Id="rId19" Type="http://schemas.openxmlformats.org/officeDocument/2006/relationships/hyperlink" Target="https://denr.nt.gov.au/environment-information/onshore-gas-in-the-northern-territory/code-of-practice-onshore-petroleum-activities-in-the-nt" TargetMode="External"/><Relationship Id="rId14" Type="http://schemas.openxmlformats.org/officeDocument/2006/relationships/hyperlink" Target="https://nt.gov.au/__data/assets/pdf_file/0004/295906/schedule-of-petroleum-onshore-requirements.pdf" TargetMode="External"/><Relationship Id="rId30" Type="http://schemas.openxmlformats.org/officeDocument/2006/relationships/hyperlink" Target="https://depws.nt.gov.au/onshore-gas/onshore-gas-in-the-northern-territory/code-of-practice-onshore-petroleum-activities-in-the-nt" TargetMode="External"/><Relationship Id="rId35" Type="http://schemas.openxmlformats.org/officeDocument/2006/relationships/hyperlink" Target="https://nt.gov.au/__data/assets/pdf_file/0004/295906/schedule-of-petroleum-onshore-requirements.pdf" TargetMode="External"/><Relationship Id="rId56" Type="http://schemas.openxmlformats.org/officeDocument/2006/relationships/hyperlink" Target="https://depws.nt.gov.au/onshore-gas/onshore-gas-in-the-northern-territory/code-of-practice-onshore-petroleum-activities-in-the-nt" TargetMode="External"/><Relationship Id="rId77" Type="http://schemas.openxmlformats.org/officeDocument/2006/relationships/hyperlink" Target="https://aboriginalaffairs.nt.gov.au/__data/assets/pdf_file/0004/983371/ldm-policy.pdf" TargetMode="External"/><Relationship Id="rId100" Type="http://schemas.openxmlformats.org/officeDocument/2006/relationships/hyperlink" Target="https://depws.nt.gov.au/onshore-gas/onshore-gas-in-the-northern-territory/industry-compliance-and-reporting" TargetMode="External"/><Relationship Id="rId105" Type="http://schemas.openxmlformats.org/officeDocument/2006/relationships/image" Target="media/image1.png"/><Relationship Id="rId8" Type="http://schemas.openxmlformats.org/officeDocument/2006/relationships/webSettings" Target="webSettings.xml"/><Relationship Id="rId51" Type="http://schemas.openxmlformats.org/officeDocument/2006/relationships/hyperlink" Target="https://gisera.csiro.au/research/social-and-economic-impacts-and-opportunities/mapping-future-transport-passages-and-volumes-for-improved-planning-and-operation" TargetMode="External"/><Relationship Id="rId72" Type="http://schemas.openxmlformats.org/officeDocument/2006/relationships/hyperlink" Target="https://dipl.nt.gov.au/__data/assets/pdf_file/0007/1070818/bringing-land-to-market-report-recommendations.pdf" TargetMode="External"/><Relationship Id="rId93" Type="http://schemas.openxmlformats.org/officeDocument/2006/relationships/hyperlink" Target="https://nt.gov.au/__data/assets/pdf_file/0010/1179397/s64.pdf" TargetMode="External"/><Relationship Id="rId98" Type="http://schemas.openxmlformats.org/officeDocument/2006/relationships/hyperlink" Target="https://legislation.nt.gov.au/api/sitecore/Bill/BPDF?id=19258" TargetMode="External"/><Relationship Id="rId3" Type="http://schemas.openxmlformats.org/officeDocument/2006/relationships/customXml" Target="../customXml/item3.xml"/><Relationship Id="rId25" Type="http://schemas.openxmlformats.org/officeDocument/2006/relationships/hyperlink" Target="https://legislation.nt.gov.au/Legislation/PETROLEUM-ENVIRONMENT-REGULATIONS-2016" TargetMode="External"/><Relationship Id="rId46" Type="http://schemas.openxmlformats.org/officeDocument/2006/relationships/hyperlink" Target="https://depws.nt.gov.au/onshore-gas/onshore-gas-in-the-northern-territory/code-of-practice-onshore-petroleum-activities-in-the-nt" TargetMode="External"/><Relationship Id="rId67" Type="http://schemas.openxmlformats.org/officeDocument/2006/relationships/hyperlink" Target="https://nt.gov.au/__data/assets/pdf_file/0010/1179397/s64.pdf" TargetMode="External"/><Relationship Id="rId116" Type="http://schemas.openxmlformats.org/officeDocument/2006/relationships/header" Target="header1.xml"/><Relationship Id="rId20" Type="http://schemas.openxmlformats.org/officeDocument/2006/relationships/hyperlink" Target="https://nt.gov.au/__data/assets/pdf_file/0004/295906/schedule-of-petroleum-onshore-requirements.pdf" TargetMode="External"/><Relationship Id="rId41" Type="http://schemas.openxmlformats.org/officeDocument/2006/relationships/hyperlink" Target="https://denr.nt.gov.au/__data/assets/pdf_file/0006/708558/weed-management-planning-guide-onshore-petroleum-projects.pdf" TargetMode="External"/><Relationship Id="rId62" Type="http://schemas.openxmlformats.org/officeDocument/2006/relationships/hyperlink" Target="https://depws.nt.gov.au/onshore-gas/onshore-gas-in-the-northern-territory/code-of-practice-onshore-petroleum-activities-in-the-nt" TargetMode="External"/><Relationship Id="rId83" Type="http://schemas.openxmlformats.org/officeDocument/2006/relationships/hyperlink" Target="https://cmc.nt.gov.au/__data/assets/pdf_file/0005/1052897/q19-0139-kpmg-final-report.pdf" TargetMode="External"/><Relationship Id="rId88" Type="http://schemas.openxmlformats.org/officeDocument/2006/relationships/hyperlink" Target="https://nt.gov.au/industry/mining-and-petroleum/land-tenure-and-availability/petroleum-reserved-blocks" TargetMode="External"/><Relationship Id="rId111" Type="http://schemas.openxmlformats.org/officeDocument/2006/relationships/hyperlink" Target="https://hydraulicfracturing.nt.gov.au/home" TargetMode="External"/><Relationship Id="rId15" Type="http://schemas.openxmlformats.org/officeDocument/2006/relationships/hyperlink" Target="https://depws.nt.gov.au/onshore-gas/sreba" TargetMode="External"/><Relationship Id="rId36" Type="http://schemas.openxmlformats.org/officeDocument/2006/relationships/hyperlink" Target="https://depws.nt.gov.au/onshore-gas/onshore-gas-in-the-northern-territory/code-of-practice-onshore-petroleum-activities-in-the-nt" TargetMode="External"/><Relationship Id="rId57" Type="http://schemas.openxmlformats.org/officeDocument/2006/relationships/hyperlink" Target="https://depws.nt.gov.au/onshore-gas/onshore-gas-in-the-northern-territory/code-of-practice-onshore-petroleum-activities-in-the-nt" TargetMode="External"/><Relationship Id="rId106" Type="http://schemas.openxmlformats.org/officeDocument/2006/relationships/hyperlink" Target="https://legislation.nt.gov.au/Search/~/link.aspx?_id=3438FA3350754E579091E8FE64E7C478&amp;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78c5d-fb16-4c76-9f26-9f18025ed0fa">
      <Terms xmlns="http://schemas.microsoft.com/office/infopath/2007/PartnerControls"/>
    </lcf76f155ced4ddcb4097134ff3c332f>
    <TaxCatchAll xmlns="f0e750e7-50cd-45cb-a79c-b416781c67ef" xsi:nil="true"/>
    <sd2e xmlns="a1a78c5d-fb16-4c76-9f26-9f18025ed0fa" xsi:nil="true"/>
    <Image xmlns="a1a78c5d-fb16-4c76-9f26-9f18025ed0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B5163A5A7AF2439730BF119C84F560" ma:contentTypeVersion="23" ma:contentTypeDescription="Create a new document." ma:contentTypeScope="" ma:versionID="b6b2c4c6228ac15d87d7d504a971ee0d">
  <xsd:schema xmlns:xsd="http://www.w3.org/2001/XMLSchema" xmlns:xs="http://www.w3.org/2001/XMLSchema" xmlns:p="http://schemas.microsoft.com/office/2006/metadata/properties" xmlns:ns2="a1a78c5d-fb16-4c76-9f26-9f18025ed0fa" xmlns:ns3="f0e750e7-50cd-45cb-a79c-b416781c67ef" targetNamespace="http://schemas.microsoft.com/office/2006/metadata/properties" ma:root="true" ma:fieldsID="3d9909a6bc2b040e35a48d85226a35cc" ns2:_="" ns3:_="">
    <xsd:import namespace="a1a78c5d-fb16-4c76-9f26-9f18025ed0fa"/>
    <xsd:import namespace="f0e750e7-50cd-45cb-a79c-b416781c6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sd2e" minOccurs="0"/>
                <xsd:element ref="ns2:MediaLengthInSeconds" minOccurs="0"/>
                <xsd:element ref="ns2:lcf76f155ced4ddcb4097134ff3c332f" minOccurs="0"/>
                <xsd:element ref="ns3:TaxCatchAl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78c5d-fb16-4c76-9f26-9f18025ed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d2e" ma:index="20" nillable="true" ma:displayName="Number" ma:internalName="sd2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62061d-a74f-4582-b2fa-6494eae54077"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e750e7-50cd-45cb-a79c-b416781c67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4ca33f4-29b4-4511-916a-5045025181df}" ma:internalName="TaxCatchAll" ma:showField="CatchAllData" ma:web="f0e750e7-50cd-45cb-a79c-b416781c6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67A0F-F267-4F26-AB3F-F6F9CF718311}">
  <ds:schemaRefs>
    <ds:schemaRef ds:uri="http://schemas.openxmlformats.org/officeDocument/2006/bibliography"/>
  </ds:schemaRefs>
</ds:datastoreItem>
</file>

<file path=customXml/itemProps2.xml><?xml version="1.0" encoding="utf-8"?>
<ds:datastoreItem xmlns:ds="http://schemas.openxmlformats.org/officeDocument/2006/customXml" ds:itemID="{B70EE833-1E1B-4BDF-9030-721B772E775D}">
  <ds:schemaRefs>
    <ds:schemaRef ds:uri="http://schemas.microsoft.com/office/2006/metadata/properties"/>
    <ds:schemaRef ds:uri="http://schemas.microsoft.com/office/infopath/2007/PartnerControls"/>
    <ds:schemaRef ds:uri="3c902b50-99fd-4c1a-9f99-26f6603a044a"/>
    <ds:schemaRef ds:uri="04dd0ffb-3d0a-4ee7-9874-4f9d1a87623b"/>
  </ds:schemaRefs>
</ds:datastoreItem>
</file>

<file path=customXml/itemProps3.xml><?xml version="1.0" encoding="utf-8"?>
<ds:datastoreItem xmlns:ds="http://schemas.openxmlformats.org/officeDocument/2006/customXml" ds:itemID="{37CB26F0-84E6-44B8-8C2C-4D4959BE4F0D}"/>
</file>

<file path=customXml/itemProps4.xml><?xml version="1.0" encoding="utf-8"?>
<ds:datastoreItem xmlns:ds="http://schemas.openxmlformats.org/officeDocument/2006/customXml" ds:itemID="{526AD5E6-7023-4C2E-A23A-DD775BABC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41399</Words>
  <Characters>235979</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276825</CharactersWithSpaces>
  <SharedDoc>false</SharedDoc>
  <HLinks>
    <vt:vector size="618" baseType="variant">
      <vt:variant>
        <vt:i4>7405602</vt:i4>
      </vt:variant>
      <vt:variant>
        <vt:i4>306</vt:i4>
      </vt:variant>
      <vt:variant>
        <vt:i4>0</vt:i4>
      </vt:variant>
      <vt:variant>
        <vt:i4>5</vt:i4>
      </vt:variant>
      <vt:variant>
        <vt:lpwstr>https://hydraulicfracturing.nt.gov.au/about/government-accepts-all-recommendations-of-the-inquiry</vt:lpwstr>
      </vt:variant>
      <vt:variant>
        <vt:lpwstr>:~:text=The%20Hydraulic%20Fracturing%20Inquiry%20Implementation,mapped%20in%20the%20Implementation%20Plan.</vt:lpwstr>
      </vt:variant>
      <vt:variant>
        <vt:i4>3014692</vt:i4>
      </vt:variant>
      <vt:variant>
        <vt:i4>303</vt:i4>
      </vt:variant>
      <vt:variant>
        <vt:i4>0</vt:i4>
      </vt:variant>
      <vt:variant>
        <vt:i4>5</vt:i4>
      </vt:variant>
      <vt:variant>
        <vt:lpwstr>https://hydraulicfracturing.nt.gov.au/about/governance/reference-group</vt:lpwstr>
      </vt:variant>
      <vt:variant>
        <vt:lpwstr/>
      </vt:variant>
      <vt:variant>
        <vt:i4>6750306</vt:i4>
      </vt:variant>
      <vt:variant>
        <vt:i4>300</vt:i4>
      </vt:variant>
      <vt:variant>
        <vt:i4>0</vt:i4>
      </vt:variant>
      <vt:variant>
        <vt:i4>5</vt:i4>
      </vt:variant>
      <vt:variant>
        <vt:lpwstr>https://earthjustice.sharepoint.com/sites/Australia/Shared Documents/Gas/EDO Northern Territory/Pepper Inquiry Implementation/hydraulicfracturing.nt.gov.au</vt:lpwstr>
      </vt:variant>
      <vt:variant>
        <vt:lpwstr/>
      </vt:variant>
      <vt:variant>
        <vt:i4>3473490</vt:i4>
      </vt:variant>
      <vt:variant>
        <vt:i4>297</vt:i4>
      </vt:variant>
      <vt:variant>
        <vt:i4>0</vt:i4>
      </vt:variant>
      <vt:variant>
        <vt:i4>5</vt:i4>
      </vt:variant>
      <vt:variant>
        <vt:lpwstr>https://hydraulicfracturing.nt.gov.au/__data/assets/pdf_file/0004/673123/fracking_implementation_plan.pdf</vt:lpwstr>
      </vt:variant>
      <vt:variant>
        <vt:lpwstr/>
      </vt:variant>
      <vt:variant>
        <vt:i4>6684729</vt:i4>
      </vt:variant>
      <vt:variant>
        <vt:i4>294</vt:i4>
      </vt:variant>
      <vt:variant>
        <vt:i4>0</vt:i4>
      </vt:variant>
      <vt:variant>
        <vt:i4>5</vt:i4>
      </vt:variant>
      <vt:variant>
        <vt:lpwstr>https://hydraulicfracturing.nt.gov.au/home</vt:lpwstr>
      </vt:variant>
      <vt:variant>
        <vt:lpwstr/>
      </vt:variant>
      <vt:variant>
        <vt:i4>6029336</vt:i4>
      </vt:variant>
      <vt:variant>
        <vt:i4>291</vt:i4>
      </vt:variant>
      <vt:variant>
        <vt:i4>0</vt:i4>
      </vt:variant>
      <vt:variant>
        <vt:i4>5</vt:i4>
      </vt:variant>
      <vt:variant>
        <vt:lpwstr>https://justice.nt.gov.au/attorney-general-and-justice/units-and-amounts/penalty-units</vt:lpwstr>
      </vt:variant>
      <vt:variant>
        <vt:lpwstr>:~:text=Some%20amounts%20of%20money%20in,to%20work%20out%20each%20fine.</vt:lpwstr>
      </vt:variant>
      <vt:variant>
        <vt:i4>5701687</vt:i4>
      </vt:variant>
      <vt:variant>
        <vt:i4>288</vt:i4>
      </vt:variant>
      <vt:variant>
        <vt:i4>0</vt:i4>
      </vt:variant>
      <vt:variant>
        <vt:i4>5</vt:i4>
      </vt:variant>
      <vt:variant>
        <vt:lpwstr>https://nt.gov.au/__data/assets/pdf_file/0010/1179397/s64.pdf</vt:lpwstr>
      </vt:variant>
      <vt:variant>
        <vt:lpwstr/>
      </vt:variant>
      <vt:variant>
        <vt:i4>5701687</vt:i4>
      </vt:variant>
      <vt:variant>
        <vt:i4>285</vt:i4>
      </vt:variant>
      <vt:variant>
        <vt:i4>0</vt:i4>
      </vt:variant>
      <vt:variant>
        <vt:i4>5</vt:i4>
      </vt:variant>
      <vt:variant>
        <vt:lpwstr>https://nt.gov.au/__data/assets/pdf_file/0010/1179397/s64.pdf</vt:lpwstr>
      </vt:variant>
      <vt:variant>
        <vt:lpwstr/>
      </vt:variant>
      <vt:variant>
        <vt:i4>5701687</vt:i4>
      </vt:variant>
      <vt:variant>
        <vt:i4>282</vt:i4>
      </vt:variant>
      <vt:variant>
        <vt:i4>0</vt:i4>
      </vt:variant>
      <vt:variant>
        <vt:i4>5</vt:i4>
      </vt:variant>
      <vt:variant>
        <vt:lpwstr>https://nt.gov.au/__data/assets/pdf_file/0010/1179397/s64.pdf</vt:lpwstr>
      </vt:variant>
      <vt:variant>
        <vt:lpwstr/>
      </vt:variant>
      <vt:variant>
        <vt:i4>5242890</vt:i4>
      </vt:variant>
      <vt:variant>
        <vt:i4>279</vt:i4>
      </vt:variant>
      <vt:variant>
        <vt:i4>0</vt:i4>
      </vt:variant>
      <vt:variant>
        <vt:i4>5</vt:i4>
      </vt:variant>
      <vt:variant>
        <vt:lpwstr>https://legislation.nt.gov.au/Search/~/link.aspx?_id=3438FA3350754E579091E8FE64E7C478&amp;amp;_z=z</vt:lpwstr>
      </vt:variant>
      <vt:variant>
        <vt:lpwstr/>
      </vt:variant>
      <vt:variant>
        <vt:i4>5701687</vt:i4>
      </vt:variant>
      <vt:variant>
        <vt:i4>276</vt:i4>
      </vt:variant>
      <vt:variant>
        <vt:i4>0</vt:i4>
      </vt:variant>
      <vt:variant>
        <vt:i4>5</vt:i4>
      </vt:variant>
      <vt:variant>
        <vt:lpwstr>https://nt.gov.au/__data/assets/pdf_file/0010/1179397/s64.pdf</vt:lpwstr>
      </vt:variant>
      <vt:variant>
        <vt:lpwstr/>
      </vt:variant>
      <vt:variant>
        <vt:i4>7077950</vt:i4>
      </vt:variant>
      <vt:variant>
        <vt:i4>273</vt:i4>
      </vt:variant>
      <vt:variant>
        <vt:i4>0</vt:i4>
      </vt:variant>
      <vt:variant>
        <vt:i4>5</vt:i4>
      </vt:variant>
      <vt:variant>
        <vt:lpwstr>https://depws.nt.gov.au/onshore-gas/onshore-gas-in-the-northern-territory/onshore-gas-non-compliance-hotline</vt:lpwstr>
      </vt:variant>
      <vt:variant>
        <vt:lpwstr>:~:text=The%2024%20hour%20toll%20free%20hotline%20is%3A%201800%20413%20889.</vt:lpwstr>
      </vt:variant>
      <vt:variant>
        <vt:i4>6946902</vt:i4>
      </vt:variant>
      <vt:variant>
        <vt:i4>270</vt:i4>
      </vt:variant>
      <vt:variant>
        <vt:i4>0</vt:i4>
      </vt:variant>
      <vt:variant>
        <vt:i4>5</vt:i4>
      </vt:variant>
      <vt:variant>
        <vt:lpwstr>https://denr.nt.gov.au/__data/assets/pdf_file/0007/715543/Monitoring-and-compliance-strategy.pdf</vt:lpwstr>
      </vt:variant>
      <vt:variant>
        <vt:lpwstr/>
      </vt:variant>
      <vt:variant>
        <vt:i4>6684795</vt:i4>
      </vt:variant>
      <vt:variant>
        <vt:i4>267</vt:i4>
      </vt:variant>
      <vt:variant>
        <vt:i4>0</vt:i4>
      </vt:variant>
      <vt:variant>
        <vt:i4>5</vt:i4>
      </vt:variant>
      <vt:variant>
        <vt:lpwstr>https://depws.nt.gov.au/onshore-gas/onshore-gas-in-the-northern-territory/industry-compliance-and-reporting</vt:lpwstr>
      </vt:variant>
      <vt:variant>
        <vt:lpwstr/>
      </vt:variant>
      <vt:variant>
        <vt:i4>5701687</vt:i4>
      </vt:variant>
      <vt:variant>
        <vt:i4>264</vt:i4>
      </vt:variant>
      <vt:variant>
        <vt:i4>0</vt:i4>
      </vt:variant>
      <vt:variant>
        <vt:i4>5</vt:i4>
      </vt:variant>
      <vt:variant>
        <vt:lpwstr>https://nt.gov.au/__data/assets/pdf_file/0010/1179397/s64.pdf</vt:lpwstr>
      </vt:variant>
      <vt:variant>
        <vt:lpwstr/>
      </vt:variant>
      <vt:variant>
        <vt:i4>5832768</vt:i4>
      </vt:variant>
      <vt:variant>
        <vt:i4>261</vt:i4>
      </vt:variant>
      <vt:variant>
        <vt:i4>0</vt:i4>
      </vt:variant>
      <vt:variant>
        <vt:i4>5</vt:i4>
      </vt:variant>
      <vt:variant>
        <vt:lpwstr>https://legislation.nt.gov.au/api/sitecore/Bill/BPDF?id=19258</vt:lpwstr>
      </vt:variant>
      <vt:variant>
        <vt:lpwstr/>
      </vt:variant>
      <vt:variant>
        <vt:i4>5701687</vt:i4>
      </vt:variant>
      <vt:variant>
        <vt:i4>258</vt:i4>
      </vt:variant>
      <vt:variant>
        <vt:i4>0</vt:i4>
      </vt:variant>
      <vt:variant>
        <vt:i4>5</vt:i4>
      </vt:variant>
      <vt:variant>
        <vt:lpwstr>https://nt.gov.au/__data/assets/pdf_file/0010/1179397/s64.pdf</vt:lpwstr>
      </vt:variant>
      <vt:variant>
        <vt:lpwstr/>
      </vt:variant>
      <vt:variant>
        <vt:i4>5832768</vt:i4>
      </vt:variant>
      <vt:variant>
        <vt:i4>255</vt:i4>
      </vt:variant>
      <vt:variant>
        <vt:i4>0</vt:i4>
      </vt:variant>
      <vt:variant>
        <vt:i4>5</vt:i4>
      </vt:variant>
      <vt:variant>
        <vt:lpwstr>https://legislation.nt.gov.au/api/sitecore/Bill/BPDF?id=19258</vt:lpwstr>
      </vt:variant>
      <vt:variant>
        <vt:lpwstr/>
      </vt:variant>
      <vt:variant>
        <vt:i4>7798898</vt:i4>
      </vt:variant>
      <vt:variant>
        <vt:i4>252</vt:i4>
      </vt:variant>
      <vt:variant>
        <vt:i4>0</vt:i4>
      </vt:variant>
      <vt:variant>
        <vt:i4>5</vt:i4>
      </vt:variant>
      <vt:variant>
        <vt:lpwstr>https://hydraulicfracturing.nt.gov.au/action-items</vt:lpwstr>
      </vt:variant>
      <vt:variant>
        <vt:lpwstr/>
      </vt:variant>
      <vt:variant>
        <vt:i4>851991</vt:i4>
      </vt:variant>
      <vt:variant>
        <vt:i4>249</vt:i4>
      </vt:variant>
      <vt:variant>
        <vt:i4>0</vt:i4>
      </vt:variant>
      <vt:variant>
        <vt:i4>5</vt:i4>
      </vt:variant>
      <vt:variant>
        <vt:lpwstr>https://denr.nt.gov.au/rangelands/guidelines-and-management-plans2/land-clearing-guidelines-and-management-plans</vt:lpwstr>
      </vt:variant>
      <vt:variant>
        <vt:lpwstr/>
      </vt:variant>
      <vt:variant>
        <vt:i4>5701687</vt:i4>
      </vt:variant>
      <vt:variant>
        <vt:i4>246</vt:i4>
      </vt:variant>
      <vt:variant>
        <vt:i4>0</vt:i4>
      </vt:variant>
      <vt:variant>
        <vt:i4>5</vt:i4>
      </vt:variant>
      <vt:variant>
        <vt:lpwstr>https://nt.gov.au/__data/assets/pdf_file/0010/1179397/s64.pdf</vt:lpwstr>
      </vt:variant>
      <vt:variant>
        <vt:lpwstr/>
      </vt:variant>
      <vt:variant>
        <vt:i4>94</vt:i4>
      </vt:variant>
      <vt:variant>
        <vt:i4>243</vt:i4>
      </vt:variant>
      <vt:variant>
        <vt:i4>0</vt:i4>
      </vt:variant>
      <vt:variant>
        <vt:i4>5</vt:i4>
      </vt:variant>
      <vt:variant>
        <vt:lpwstr>https://depws.nt.gov.au/onshore-gas/onshore-gas-in-the-northern-territory/code-of-practice-onshore-petroleum-activities-in-the-nt</vt:lpwstr>
      </vt:variant>
      <vt:variant>
        <vt:lpwstr/>
      </vt:variant>
      <vt:variant>
        <vt:i4>5701687</vt:i4>
      </vt:variant>
      <vt:variant>
        <vt:i4>240</vt:i4>
      </vt:variant>
      <vt:variant>
        <vt:i4>0</vt:i4>
      </vt:variant>
      <vt:variant>
        <vt:i4>5</vt:i4>
      </vt:variant>
      <vt:variant>
        <vt:lpwstr>https://nt.gov.au/__data/assets/pdf_file/0010/1179397/s64.pdf</vt:lpwstr>
      </vt:variant>
      <vt:variant>
        <vt:lpwstr/>
      </vt:variant>
      <vt:variant>
        <vt:i4>5701687</vt:i4>
      </vt:variant>
      <vt:variant>
        <vt:i4>237</vt:i4>
      </vt:variant>
      <vt:variant>
        <vt:i4>0</vt:i4>
      </vt:variant>
      <vt:variant>
        <vt:i4>5</vt:i4>
      </vt:variant>
      <vt:variant>
        <vt:lpwstr>https://nt.gov.au/__data/assets/pdf_file/0010/1179397/s64.pdf</vt:lpwstr>
      </vt:variant>
      <vt:variant>
        <vt:lpwstr/>
      </vt:variant>
      <vt:variant>
        <vt:i4>3014695</vt:i4>
      </vt:variant>
      <vt:variant>
        <vt:i4>234</vt:i4>
      </vt:variant>
      <vt:variant>
        <vt:i4>0</vt:i4>
      </vt:variant>
      <vt:variant>
        <vt:i4>5</vt:i4>
      </vt:variant>
      <vt:variant>
        <vt:lpwstr>https://nt.gov.au/industry/mining-and-petroleum/land-tenure-and-availability/petroleum-reserved-blocks</vt:lpwstr>
      </vt:variant>
      <vt:variant>
        <vt:lpwstr/>
      </vt:variant>
      <vt:variant>
        <vt:i4>3014695</vt:i4>
      </vt:variant>
      <vt:variant>
        <vt:i4>231</vt:i4>
      </vt:variant>
      <vt:variant>
        <vt:i4>0</vt:i4>
      </vt:variant>
      <vt:variant>
        <vt:i4>5</vt:i4>
      </vt:variant>
      <vt:variant>
        <vt:lpwstr>https://nt.gov.au/industry/mining-and-petroleum/land-tenure-and-availability/petroleum-reserved-blocks</vt:lpwstr>
      </vt:variant>
      <vt:variant>
        <vt:lpwstr/>
      </vt:variant>
      <vt:variant>
        <vt:i4>1114235</vt:i4>
      </vt:variant>
      <vt:variant>
        <vt:i4>228</vt:i4>
      </vt:variant>
      <vt:variant>
        <vt:i4>0</vt:i4>
      </vt:variant>
      <vt:variant>
        <vt:i4>5</vt:i4>
      </vt:variant>
      <vt:variant>
        <vt:lpwstr>https://nt.gov.au/__data/assets/pdf_file/0005/715631/petroleum-reserved-block-policy.pdf</vt:lpwstr>
      </vt:variant>
      <vt:variant>
        <vt:lpwstr/>
      </vt:variant>
      <vt:variant>
        <vt:i4>3014695</vt:i4>
      </vt:variant>
      <vt:variant>
        <vt:i4>225</vt:i4>
      </vt:variant>
      <vt:variant>
        <vt:i4>0</vt:i4>
      </vt:variant>
      <vt:variant>
        <vt:i4>5</vt:i4>
      </vt:variant>
      <vt:variant>
        <vt:lpwstr>https://nt.gov.au/industry/mining-and-petroleum/land-tenure-and-availability/petroleum-reserved-blocks</vt:lpwstr>
      </vt:variant>
      <vt:variant>
        <vt:lpwstr/>
      </vt:variant>
      <vt:variant>
        <vt:i4>3014695</vt:i4>
      </vt:variant>
      <vt:variant>
        <vt:i4>222</vt:i4>
      </vt:variant>
      <vt:variant>
        <vt:i4>0</vt:i4>
      </vt:variant>
      <vt:variant>
        <vt:i4>5</vt:i4>
      </vt:variant>
      <vt:variant>
        <vt:lpwstr>https://nt.gov.au/industry/mining-and-petroleum/land-tenure-and-availability/petroleum-reserved-blocks</vt:lpwstr>
      </vt:variant>
      <vt:variant>
        <vt:lpwstr/>
      </vt:variant>
      <vt:variant>
        <vt:i4>5701687</vt:i4>
      </vt:variant>
      <vt:variant>
        <vt:i4>219</vt:i4>
      </vt:variant>
      <vt:variant>
        <vt:i4>0</vt:i4>
      </vt:variant>
      <vt:variant>
        <vt:i4>5</vt:i4>
      </vt:variant>
      <vt:variant>
        <vt:lpwstr>https://nt.gov.au/__data/assets/pdf_file/0010/1179397/s64.pdf</vt:lpwstr>
      </vt:variant>
      <vt:variant>
        <vt:lpwstr/>
      </vt:variant>
      <vt:variant>
        <vt:i4>1114147</vt:i4>
      </vt:variant>
      <vt:variant>
        <vt:i4>216</vt:i4>
      </vt:variant>
      <vt:variant>
        <vt:i4>0</vt:i4>
      </vt:variant>
      <vt:variant>
        <vt:i4>5</vt:i4>
      </vt:variant>
      <vt:variant>
        <vt:lpwstr>https://cmc.nt.gov.au/__data/assets/pdf_file/0005/1052897/q19-0139-kpmg-final-report.pdf</vt:lpwstr>
      </vt:variant>
      <vt:variant>
        <vt:lpwstr/>
      </vt:variant>
      <vt:variant>
        <vt:i4>1245253</vt:i4>
      </vt:variant>
      <vt:variant>
        <vt:i4>213</vt:i4>
      </vt:variant>
      <vt:variant>
        <vt:i4>0</vt:i4>
      </vt:variant>
      <vt:variant>
        <vt:i4>5</vt:i4>
      </vt:variant>
      <vt:variant>
        <vt:lpwstr>https://gisera.csiro.au/research/social-and-economic-impacts-and-opportunities/mapping-future-transport-passages-and-volumes-for-improved-planning-and-operation</vt:lpwstr>
      </vt:variant>
      <vt:variant>
        <vt:lpwstr/>
      </vt:variant>
      <vt:variant>
        <vt:i4>5570653</vt:i4>
      </vt:variant>
      <vt:variant>
        <vt:i4>210</vt:i4>
      </vt:variant>
      <vt:variant>
        <vt:i4>0</vt:i4>
      </vt:variant>
      <vt:variant>
        <vt:i4>5</vt:i4>
      </vt:variant>
      <vt:variant>
        <vt:lpwstr>https://www.indigenous.gov.au/news-and-media/announcements/northern-territory-business-hub-provider-signs</vt:lpwstr>
      </vt:variant>
      <vt:variant>
        <vt:lpwstr/>
      </vt:variant>
      <vt:variant>
        <vt:i4>1376280</vt:i4>
      </vt:variant>
      <vt:variant>
        <vt:i4>207</vt:i4>
      </vt:variant>
      <vt:variant>
        <vt:i4>0</vt:i4>
      </vt:variant>
      <vt:variant>
        <vt:i4>5</vt:i4>
      </vt:variant>
      <vt:variant>
        <vt:lpwstr>https://icn.org.au/who-are-we/our-team/</vt:lpwstr>
      </vt:variant>
      <vt:variant>
        <vt:lpwstr>nt</vt:lpwstr>
      </vt:variant>
      <vt:variant>
        <vt:i4>6815840</vt:i4>
      </vt:variant>
      <vt:variant>
        <vt:i4>204</vt:i4>
      </vt:variant>
      <vt:variant>
        <vt:i4>0</vt:i4>
      </vt:variant>
      <vt:variant>
        <vt:i4>5</vt:i4>
      </vt:variant>
      <vt:variant>
        <vt:lpwstr>https://icn.org.au/publications</vt:lpwstr>
      </vt:variant>
      <vt:variant>
        <vt:lpwstr/>
      </vt:variant>
      <vt:variant>
        <vt:i4>1900608</vt:i4>
      </vt:variant>
      <vt:variant>
        <vt:i4>201</vt:i4>
      </vt:variant>
      <vt:variant>
        <vt:i4>0</vt:i4>
      </vt:variant>
      <vt:variant>
        <vt:i4>5</vt:i4>
      </vt:variant>
      <vt:variant>
        <vt:lpwstr>https://industry.nt.gov.au/projects-and-initiatives/business/gas-service-and-supply-plan</vt:lpwstr>
      </vt:variant>
      <vt:variant>
        <vt:lpwstr/>
      </vt:variant>
      <vt:variant>
        <vt:i4>1310752</vt:i4>
      </vt:variant>
      <vt:variant>
        <vt:i4>198</vt:i4>
      </vt:variant>
      <vt:variant>
        <vt:i4>0</vt:i4>
      </vt:variant>
      <vt:variant>
        <vt:i4>5</vt:i4>
      </vt:variant>
      <vt:variant>
        <vt:lpwstr>https://aboriginalaffairs.nt.gov.au/__data/assets/pdf_file/0004/983371/ldm-policy.pdf</vt:lpwstr>
      </vt:variant>
      <vt:variant>
        <vt:lpwstr/>
      </vt:variant>
      <vt:variant>
        <vt:i4>852008</vt:i4>
      </vt:variant>
      <vt:variant>
        <vt:i4>195</vt:i4>
      </vt:variant>
      <vt:variant>
        <vt:i4>0</vt:i4>
      </vt:variant>
      <vt:variant>
        <vt:i4>5</vt:i4>
      </vt:variant>
      <vt:variant>
        <vt:lpwstr>https://cmc.nt.gov.au/__data/assets/pdf_file/0011/1123778/regional-development-framework.pdf</vt:lpwstr>
      </vt:variant>
      <vt:variant>
        <vt:lpwstr/>
      </vt:variant>
      <vt:variant>
        <vt:i4>1310752</vt:i4>
      </vt:variant>
      <vt:variant>
        <vt:i4>192</vt:i4>
      </vt:variant>
      <vt:variant>
        <vt:i4>0</vt:i4>
      </vt:variant>
      <vt:variant>
        <vt:i4>5</vt:i4>
      </vt:variant>
      <vt:variant>
        <vt:lpwstr>https://aboriginalaffairs.nt.gov.au/__data/assets/pdf_file/0004/983371/ldm-policy.pdf</vt:lpwstr>
      </vt:variant>
      <vt:variant>
        <vt:lpwstr/>
      </vt:variant>
      <vt:variant>
        <vt:i4>852008</vt:i4>
      </vt:variant>
      <vt:variant>
        <vt:i4>189</vt:i4>
      </vt:variant>
      <vt:variant>
        <vt:i4>0</vt:i4>
      </vt:variant>
      <vt:variant>
        <vt:i4>5</vt:i4>
      </vt:variant>
      <vt:variant>
        <vt:lpwstr>https://cmc.nt.gov.au/__data/assets/pdf_file/0011/1123778/regional-development-framework.pdf</vt:lpwstr>
      </vt:variant>
      <vt:variant>
        <vt:lpwstr/>
      </vt:variant>
      <vt:variant>
        <vt:i4>2424888</vt:i4>
      </vt:variant>
      <vt:variant>
        <vt:i4>186</vt:i4>
      </vt:variant>
      <vt:variant>
        <vt:i4>0</vt:i4>
      </vt:variant>
      <vt:variant>
        <vt:i4>5</vt:i4>
      </vt:variant>
      <vt:variant>
        <vt:lpwstr>https://barklyregionaldeal.com.au/</vt:lpwstr>
      </vt:variant>
      <vt:variant>
        <vt:lpwstr/>
      </vt:variant>
      <vt:variant>
        <vt:i4>2228319</vt:i4>
      </vt:variant>
      <vt:variant>
        <vt:i4>183</vt:i4>
      </vt:variant>
      <vt:variant>
        <vt:i4>0</vt:i4>
      </vt:variant>
      <vt:variant>
        <vt:i4>5</vt:i4>
      </vt:variant>
      <vt:variant>
        <vt:lpwstr>https://dipl.nt.gov.au/__data/assets/pdf_file/0007/1070818/bringing-land-to-market-report-recommendations.pdf</vt:lpwstr>
      </vt:variant>
      <vt:variant>
        <vt:lpwstr/>
      </vt:variant>
      <vt:variant>
        <vt:i4>1245253</vt:i4>
      </vt:variant>
      <vt:variant>
        <vt:i4>180</vt:i4>
      </vt:variant>
      <vt:variant>
        <vt:i4>0</vt:i4>
      </vt:variant>
      <vt:variant>
        <vt:i4>5</vt:i4>
      </vt:variant>
      <vt:variant>
        <vt:lpwstr>https://gisera.csiro.au/research/social-and-economic-impacts-and-opportunities/mapping-future-transport-passages-and-volumes-for-improved-planning-and-operation</vt:lpwstr>
      </vt:variant>
      <vt:variant>
        <vt:lpwstr/>
      </vt:variant>
      <vt:variant>
        <vt:i4>1245253</vt:i4>
      </vt:variant>
      <vt:variant>
        <vt:i4>177</vt:i4>
      </vt:variant>
      <vt:variant>
        <vt:i4>0</vt:i4>
      </vt:variant>
      <vt:variant>
        <vt:i4>5</vt:i4>
      </vt:variant>
      <vt:variant>
        <vt:lpwstr>https://gisera.csiro.au/research/social-and-economic-impacts-and-opportunities/mapping-future-transport-passages-and-volumes-for-improved-planning-and-operation</vt:lpwstr>
      </vt:variant>
      <vt:variant>
        <vt:lpwstr/>
      </vt:variant>
      <vt:variant>
        <vt:i4>1245253</vt:i4>
      </vt:variant>
      <vt:variant>
        <vt:i4>174</vt:i4>
      </vt:variant>
      <vt:variant>
        <vt:i4>0</vt:i4>
      </vt:variant>
      <vt:variant>
        <vt:i4>5</vt:i4>
      </vt:variant>
      <vt:variant>
        <vt:lpwstr>https://gisera.csiro.au/research/social-and-economic-impacts-and-opportunities/mapping-future-transport-passages-and-volumes-for-improved-planning-and-operation</vt:lpwstr>
      </vt:variant>
      <vt:variant>
        <vt:lpwstr/>
      </vt:variant>
      <vt:variant>
        <vt:i4>1114147</vt:i4>
      </vt:variant>
      <vt:variant>
        <vt:i4>171</vt:i4>
      </vt:variant>
      <vt:variant>
        <vt:i4>0</vt:i4>
      </vt:variant>
      <vt:variant>
        <vt:i4>5</vt:i4>
      </vt:variant>
      <vt:variant>
        <vt:lpwstr>https://cmc.nt.gov.au/__data/assets/pdf_file/0005/1052897/q19-0139-kpmg-final-report.pdf</vt:lpwstr>
      </vt:variant>
      <vt:variant>
        <vt:lpwstr/>
      </vt:variant>
      <vt:variant>
        <vt:i4>5701687</vt:i4>
      </vt:variant>
      <vt:variant>
        <vt:i4>168</vt:i4>
      </vt:variant>
      <vt:variant>
        <vt:i4>0</vt:i4>
      </vt:variant>
      <vt:variant>
        <vt:i4>5</vt:i4>
      </vt:variant>
      <vt:variant>
        <vt:lpwstr>https://nt.gov.au/__data/assets/pdf_file/0010/1179397/s64.pdf</vt:lpwstr>
      </vt:variant>
      <vt:variant>
        <vt:lpwstr/>
      </vt:variant>
      <vt:variant>
        <vt:i4>5373964</vt:i4>
      </vt:variant>
      <vt:variant>
        <vt:i4>165</vt:i4>
      </vt:variant>
      <vt:variant>
        <vt:i4>0</vt:i4>
      </vt:variant>
      <vt:variant>
        <vt:i4>5</vt:i4>
      </vt:variant>
      <vt:variant>
        <vt:lpwstr>https://www.austrade.gov.au/land-tenure/engagement-guide/northern-territory-information-on-engaging-with-traditional-owners-and-land-councils</vt:lpwstr>
      </vt:variant>
      <vt:variant>
        <vt:lpwstr/>
      </vt:variant>
      <vt:variant>
        <vt:i4>2752610</vt:i4>
      </vt:variant>
      <vt:variant>
        <vt:i4>162</vt:i4>
      </vt:variant>
      <vt:variant>
        <vt:i4>0</vt:i4>
      </vt:variant>
      <vt:variant>
        <vt:i4>5</vt:i4>
      </vt:variant>
      <vt:variant>
        <vt:lpwstr>https://hydraulicfracturing.nt.gov.au/resources/information-in-aboriginal-languages</vt:lpwstr>
      </vt:variant>
      <vt:variant>
        <vt:lpwstr/>
      </vt:variant>
      <vt:variant>
        <vt:i4>5570654</vt:i4>
      </vt:variant>
      <vt:variant>
        <vt:i4>159</vt:i4>
      </vt:variant>
      <vt:variant>
        <vt:i4>0</vt:i4>
      </vt:variant>
      <vt:variant>
        <vt:i4>5</vt:i4>
      </vt:variant>
      <vt:variant>
        <vt:lpwstr>https://hydraulicfracturing.nt.gov.au/resources/principles-when-using-aboriginal-interpreters</vt:lpwstr>
      </vt:variant>
      <vt:variant>
        <vt:lpwstr/>
      </vt:variant>
      <vt:variant>
        <vt:i4>1703976</vt:i4>
      </vt:variant>
      <vt:variant>
        <vt:i4>156</vt:i4>
      </vt:variant>
      <vt:variant>
        <vt:i4>0</vt:i4>
      </vt:variant>
      <vt:variant>
        <vt:i4>5</vt:i4>
      </vt:variant>
      <vt:variant>
        <vt:lpwstr>https://minerals.nt.gov.au/__data/assets/pdf_file/0007/256786/Exploration-Permit-Application-Guideline.pdf</vt:lpwstr>
      </vt:variant>
      <vt:variant>
        <vt:lpwstr/>
      </vt:variant>
      <vt:variant>
        <vt:i4>94</vt:i4>
      </vt:variant>
      <vt:variant>
        <vt:i4>153</vt:i4>
      </vt:variant>
      <vt:variant>
        <vt:i4>0</vt:i4>
      </vt:variant>
      <vt:variant>
        <vt:i4>5</vt:i4>
      </vt:variant>
      <vt:variant>
        <vt:lpwstr>https://depws.nt.gov.au/onshore-gas/onshore-gas-in-the-northern-territory/code-of-practice-onshore-petroleum-activities-in-the-nt</vt:lpwstr>
      </vt:variant>
      <vt:variant>
        <vt:lpwstr/>
      </vt:variant>
      <vt:variant>
        <vt:i4>5701687</vt:i4>
      </vt:variant>
      <vt:variant>
        <vt:i4>150</vt:i4>
      </vt:variant>
      <vt:variant>
        <vt:i4>0</vt:i4>
      </vt:variant>
      <vt:variant>
        <vt:i4>5</vt:i4>
      </vt:variant>
      <vt:variant>
        <vt:lpwstr>https://nt.gov.au/__data/assets/pdf_file/0010/1179397/s64.pdf</vt:lpwstr>
      </vt:variant>
      <vt:variant>
        <vt:lpwstr/>
      </vt:variant>
      <vt:variant>
        <vt:i4>94</vt:i4>
      </vt:variant>
      <vt:variant>
        <vt:i4>147</vt:i4>
      </vt:variant>
      <vt:variant>
        <vt:i4>0</vt:i4>
      </vt:variant>
      <vt:variant>
        <vt:i4>5</vt:i4>
      </vt:variant>
      <vt:variant>
        <vt:lpwstr>https://depws.nt.gov.au/onshore-gas/onshore-gas-in-the-northern-territory/code-of-practice-onshore-petroleum-activities-in-the-nt</vt:lpwstr>
      </vt:variant>
      <vt:variant>
        <vt:lpwstr/>
      </vt:variant>
      <vt:variant>
        <vt:i4>7798898</vt:i4>
      </vt:variant>
      <vt:variant>
        <vt:i4>144</vt:i4>
      </vt:variant>
      <vt:variant>
        <vt:i4>0</vt:i4>
      </vt:variant>
      <vt:variant>
        <vt:i4>5</vt:i4>
      </vt:variant>
      <vt:variant>
        <vt:lpwstr>https://hydraulicfracturing.nt.gov.au/action-items</vt:lpwstr>
      </vt:variant>
      <vt:variant>
        <vt:lpwstr/>
      </vt:variant>
      <vt:variant>
        <vt:i4>94</vt:i4>
      </vt:variant>
      <vt:variant>
        <vt:i4>141</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138</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135</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132</vt:i4>
      </vt:variant>
      <vt:variant>
        <vt:i4>0</vt:i4>
      </vt:variant>
      <vt:variant>
        <vt:i4>5</vt:i4>
      </vt:variant>
      <vt:variant>
        <vt:lpwstr>https://depws.nt.gov.au/onshore-gas/onshore-gas-in-the-northern-territory/code-of-practice-onshore-petroleum-activities-in-the-nt</vt:lpwstr>
      </vt:variant>
      <vt:variant>
        <vt:lpwstr/>
      </vt:variant>
      <vt:variant>
        <vt:i4>720969</vt:i4>
      </vt:variant>
      <vt:variant>
        <vt:i4>129</vt:i4>
      </vt:variant>
      <vt:variant>
        <vt:i4>0</vt:i4>
      </vt:variant>
      <vt:variant>
        <vt:i4>5</vt:i4>
      </vt:variant>
      <vt:variant>
        <vt:lpwstr>https://denr.nt.gov.au/onshore-gas/onshore-gas-in-the-northern-territory/code-of-practice-onshore-petroleum-activities-in-the-nt</vt:lpwstr>
      </vt:variant>
      <vt:variant>
        <vt:lpwstr/>
      </vt:variant>
      <vt:variant>
        <vt:i4>94</vt:i4>
      </vt:variant>
      <vt:variant>
        <vt:i4>126</vt:i4>
      </vt:variant>
      <vt:variant>
        <vt:i4>0</vt:i4>
      </vt:variant>
      <vt:variant>
        <vt:i4>5</vt:i4>
      </vt:variant>
      <vt:variant>
        <vt:lpwstr>https://depws.nt.gov.au/onshore-gas/onshore-gas-in-the-northern-territory/code-of-practice-onshore-petroleum-activities-in-the-nt</vt:lpwstr>
      </vt:variant>
      <vt:variant>
        <vt:lpwstr/>
      </vt:variant>
      <vt:variant>
        <vt:i4>1114147</vt:i4>
      </vt:variant>
      <vt:variant>
        <vt:i4>123</vt:i4>
      </vt:variant>
      <vt:variant>
        <vt:i4>0</vt:i4>
      </vt:variant>
      <vt:variant>
        <vt:i4>5</vt:i4>
      </vt:variant>
      <vt:variant>
        <vt:lpwstr>https://cmc.nt.gov.au/__data/assets/pdf_file/0005/1052897/q19-0139-kpmg-final-report.pdf</vt:lpwstr>
      </vt:variant>
      <vt:variant>
        <vt:lpwstr/>
      </vt:variant>
      <vt:variant>
        <vt:i4>1245253</vt:i4>
      </vt:variant>
      <vt:variant>
        <vt:i4>120</vt:i4>
      </vt:variant>
      <vt:variant>
        <vt:i4>0</vt:i4>
      </vt:variant>
      <vt:variant>
        <vt:i4>5</vt:i4>
      </vt:variant>
      <vt:variant>
        <vt:lpwstr>https://gisera.csiro.au/research/social-and-economic-impacts-and-opportunities/mapping-future-transport-passages-and-volumes-for-improved-planning-and-operation</vt:lpwstr>
      </vt:variant>
      <vt:variant>
        <vt:lpwstr/>
      </vt:variant>
      <vt:variant>
        <vt:i4>94</vt:i4>
      </vt:variant>
      <vt:variant>
        <vt:i4>117</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114</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111</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108</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105</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102</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99</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96</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93</vt:i4>
      </vt:variant>
      <vt:variant>
        <vt:i4>0</vt:i4>
      </vt:variant>
      <vt:variant>
        <vt:i4>5</vt:i4>
      </vt:variant>
      <vt:variant>
        <vt:lpwstr>https://depws.nt.gov.au/onshore-gas/onshore-gas-in-the-northern-territory/code-of-practice-onshore-petroleum-activities-in-the-nt</vt:lpwstr>
      </vt:variant>
      <vt:variant>
        <vt:lpwstr/>
      </vt:variant>
      <vt:variant>
        <vt:i4>4849717</vt:i4>
      </vt:variant>
      <vt:variant>
        <vt:i4>90</vt:i4>
      </vt:variant>
      <vt:variant>
        <vt:i4>0</vt:i4>
      </vt:variant>
      <vt:variant>
        <vt:i4>5</vt:i4>
      </vt:variant>
      <vt:variant>
        <vt:lpwstr>https://denr.nt.gov.au/__data/assets/pdf_file/0006/708558/weed-management-planning-guide-onshore-petroleum-projects.pdf</vt:lpwstr>
      </vt:variant>
      <vt:variant>
        <vt:lpwstr/>
      </vt:variant>
      <vt:variant>
        <vt:i4>4259906</vt:i4>
      </vt:variant>
      <vt:variant>
        <vt:i4>87</vt:i4>
      </vt:variant>
      <vt:variant>
        <vt:i4>0</vt:i4>
      </vt:variant>
      <vt:variant>
        <vt:i4>5</vt:i4>
      </vt:variant>
      <vt:variant>
        <vt:lpwstr>https://depws.nt.gov.au/onshore-gas/onshore-gas-in-the-northern-territory</vt:lpwstr>
      </vt:variant>
      <vt:variant>
        <vt:lpwstr/>
      </vt:variant>
      <vt:variant>
        <vt:i4>720969</vt:i4>
      </vt:variant>
      <vt:variant>
        <vt:i4>84</vt:i4>
      </vt:variant>
      <vt:variant>
        <vt:i4>0</vt:i4>
      </vt:variant>
      <vt:variant>
        <vt:i4>5</vt:i4>
      </vt:variant>
      <vt:variant>
        <vt:lpwstr>https://denr.nt.gov.au/onshore-gas/onshore-gas-in-the-northern-territory/code-of-practice-onshore-petroleum-activities-in-the-nt</vt:lpwstr>
      </vt:variant>
      <vt:variant>
        <vt:lpwstr/>
      </vt:variant>
      <vt:variant>
        <vt:i4>4849717</vt:i4>
      </vt:variant>
      <vt:variant>
        <vt:i4>81</vt:i4>
      </vt:variant>
      <vt:variant>
        <vt:i4>0</vt:i4>
      </vt:variant>
      <vt:variant>
        <vt:i4>5</vt:i4>
      </vt:variant>
      <vt:variant>
        <vt:lpwstr>https://denr.nt.gov.au/__data/assets/pdf_file/0006/708558/weed-management-planning-guide-onshore-petroleum-projects.pdf</vt:lpwstr>
      </vt:variant>
      <vt:variant>
        <vt:lpwstr/>
      </vt:variant>
      <vt:variant>
        <vt:i4>4849717</vt:i4>
      </vt:variant>
      <vt:variant>
        <vt:i4>78</vt:i4>
      </vt:variant>
      <vt:variant>
        <vt:i4>0</vt:i4>
      </vt:variant>
      <vt:variant>
        <vt:i4>5</vt:i4>
      </vt:variant>
      <vt:variant>
        <vt:lpwstr>https://denr.nt.gov.au/__data/assets/pdf_file/0006/708558/weed-management-planning-guide-onshore-petroleum-projects.pdf</vt:lpwstr>
      </vt:variant>
      <vt:variant>
        <vt:lpwstr/>
      </vt:variant>
      <vt:variant>
        <vt:i4>94</vt:i4>
      </vt:variant>
      <vt:variant>
        <vt:i4>75</vt:i4>
      </vt:variant>
      <vt:variant>
        <vt:i4>0</vt:i4>
      </vt:variant>
      <vt:variant>
        <vt:i4>5</vt:i4>
      </vt:variant>
      <vt:variant>
        <vt:lpwstr>https://depws.nt.gov.au/onshore-gas/onshore-gas-in-the-northern-territory/code-of-practice-onshore-petroleum-activities-in-the-nt</vt:lpwstr>
      </vt:variant>
      <vt:variant>
        <vt:lpwstr/>
      </vt:variant>
      <vt:variant>
        <vt:i4>8061010</vt:i4>
      </vt:variant>
      <vt:variant>
        <vt:i4>72</vt:i4>
      </vt:variant>
      <vt:variant>
        <vt:i4>0</vt:i4>
      </vt:variant>
      <vt:variant>
        <vt:i4>5</vt:i4>
      </vt:variant>
      <vt:variant>
        <vt:lpwstr>https://nt.gov.au/__data/assets/pdf_file/0004/295906/schedule-of-petroleum-onshore-requirements.pdf</vt:lpwstr>
      </vt:variant>
      <vt:variant>
        <vt:lpwstr/>
      </vt:variant>
      <vt:variant>
        <vt:i4>94</vt:i4>
      </vt:variant>
      <vt:variant>
        <vt:i4>69</vt:i4>
      </vt:variant>
      <vt:variant>
        <vt:i4>0</vt:i4>
      </vt:variant>
      <vt:variant>
        <vt:i4>5</vt:i4>
      </vt:variant>
      <vt:variant>
        <vt:lpwstr>https://depws.nt.gov.au/onshore-gas/onshore-gas-in-the-northern-territory/code-of-practice-onshore-petroleum-activities-in-the-nt</vt:lpwstr>
      </vt:variant>
      <vt:variant>
        <vt:lpwstr/>
      </vt:variant>
      <vt:variant>
        <vt:i4>4259906</vt:i4>
      </vt:variant>
      <vt:variant>
        <vt:i4>66</vt:i4>
      </vt:variant>
      <vt:variant>
        <vt:i4>0</vt:i4>
      </vt:variant>
      <vt:variant>
        <vt:i4>5</vt:i4>
      </vt:variant>
      <vt:variant>
        <vt:lpwstr>https://depws.nt.gov.au/onshore-gas/onshore-gas-in-the-northern-territory</vt:lpwstr>
      </vt:variant>
      <vt:variant>
        <vt:lpwstr/>
      </vt:variant>
      <vt:variant>
        <vt:i4>94</vt:i4>
      </vt:variant>
      <vt:variant>
        <vt:i4>63</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60</vt:i4>
      </vt:variant>
      <vt:variant>
        <vt:i4>0</vt:i4>
      </vt:variant>
      <vt:variant>
        <vt:i4>5</vt:i4>
      </vt:variant>
      <vt:variant>
        <vt:lpwstr>https://depws.nt.gov.au/onshore-gas/onshore-gas-in-the-northern-territory/code-of-practice-onshore-petroleum-activities-in-the-nt</vt:lpwstr>
      </vt:variant>
      <vt:variant>
        <vt:lpwstr/>
      </vt:variant>
      <vt:variant>
        <vt:i4>94</vt:i4>
      </vt:variant>
      <vt:variant>
        <vt:i4>57</vt:i4>
      </vt:variant>
      <vt:variant>
        <vt:i4>0</vt:i4>
      </vt:variant>
      <vt:variant>
        <vt:i4>5</vt:i4>
      </vt:variant>
      <vt:variant>
        <vt:lpwstr>https://depws.nt.gov.au/onshore-gas/onshore-gas-in-the-northern-territory/code-of-practice-onshore-petroleum-activities-in-the-nt</vt:lpwstr>
      </vt:variant>
      <vt:variant>
        <vt:lpwstr/>
      </vt:variant>
      <vt:variant>
        <vt:i4>6225983</vt:i4>
      </vt:variant>
      <vt:variant>
        <vt:i4>54</vt:i4>
      </vt:variant>
      <vt:variant>
        <vt:i4>0</vt:i4>
      </vt:variant>
      <vt:variant>
        <vt:i4>5</vt:i4>
      </vt:variant>
      <vt:variant>
        <vt:lpwstr>https://denr.nt.gov.au/__data/assets/pdf_file/0009/618957/Preliminary-Guideline-Petroleum-Well-Water-Quality-Monitoring.pdf</vt:lpwstr>
      </vt:variant>
      <vt:variant>
        <vt:lpwstr/>
      </vt:variant>
      <vt:variant>
        <vt:i4>4259906</vt:i4>
      </vt:variant>
      <vt:variant>
        <vt:i4>51</vt:i4>
      </vt:variant>
      <vt:variant>
        <vt:i4>0</vt:i4>
      </vt:variant>
      <vt:variant>
        <vt:i4>5</vt:i4>
      </vt:variant>
      <vt:variant>
        <vt:lpwstr>https://depws.nt.gov.au/onshore-gas/onshore-gas-in-the-northern-territory</vt:lpwstr>
      </vt:variant>
      <vt:variant>
        <vt:lpwstr/>
      </vt:variant>
      <vt:variant>
        <vt:i4>94</vt:i4>
      </vt:variant>
      <vt:variant>
        <vt:i4>48</vt:i4>
      </vt:variant>
      <vt:variant>
        <vt:i4>0</vt:i4>
      </vt:variant>
      <vt:variant>
        <vt:i4>5</vt:i4>
      </vt:variant>
      <vt:variant>
        <vt:lpwstr>https://depws.nt.gov.au/onshore-gas/onshore-gas-in-the-northern-territory/code-of-practice-onshore-petroleum-activities-in-the-nt</vt:lpwstr>
      </vt:variant>
      <vt:variant>
        <vt:lpwstr/>
      </vt:variant>
      <vt:variant>
        <vt:i4>7405683</vt:i4>
      </vt:variant>
      <vt:variant>
        <vt:i4>45</vt:i4>
      </vt:variant>
      <vt:variant>
        <vt:i4>0</vt:i4>
      </vt:variant>
      <vt:variant>
        <vt:i4>5</vt:i4>
      </vt:variant>
      <vt:variant>
        <vt:lpwstr>https://hydraulicfracturing.nt.gov.au/action-items/7.10</vt:lpwstr>
      </vt:variant>
      <vt:variant>
        <vt:lpwstr/>
      </vt:variant>
      <vt:variant>
        <vt:i4>196699</vt:i4>
      </vt:variant>
      <vt:variant>
        <vt:i4>42</vt:i4>
      </vt:variant>
      <vt:variant>
        <vt:i4>0</vt:i4>
      </vt:variant>
      <vt:variant>
        <vt:i4>5</vt:i4>
      </vt:variant>
      <vt:variant>
        <vt:lpwstr>https://legislation.nt.gov.au/Legislation/PETROLEUM-ENVIRONMENT-REGULATIONS-2016</vt:lpwstr>
      </vt:variant>
      <vt:variant>
        <vt:lpwstr/>
      </vt:variant>
      <vt:variant>
        <vt:i4>3211302</vt:i4>
      </vt:variant>
      <vt:variant>
        <vt:i4>39</vt:i4>
      </vt:variant>
      <vt:variant>
        <vt:i4>0</vt:i4>
      </vt:variant>
      <vt:variant>
        <vt:i4>5</vt:i4>
      </vt:variant>
      <vt:variant>
        <vt:lpwstr>https://www.dcceew.gov.au/sites/default/files/env/consultations/81536a00-45ea-4aba-982c-5c52a100cc15/files/risk-assessment-guidance-manual-chemicals-associated-csg-extraction-australia-exposure-draft.pdf</vt:lpwstr>
      </vt:variant>
      <vt:variant>
        <vt:lpwstr/>
      </vt:variant>
      <vt:variant>
        <vt:i4>5701687</vt:i4>
      </vt:variant>
      <vt:variant>
        <vt:i4>36</vt:i4>
      </vt:variant>
      <vt:variant>
        <vt:i4>0</vt:i4>
      </vt:variant>
      <vt:variant>
        <vt:i4>5</vt:i4>
      </vt:variant>
      <vt:variant>
        <vt:lpwstr>https://nt.gov.au/__data/assets/pdf_file/0010/1179397/s64.pdf</vt:lpwstr>
      </vt:variant>
      <vt:variant>
        <vt:lpwstr/>
      </vt:variant>
      <vt:variant>
        <vt:i4>3670074</vt:i4>
      </vt:variant>
      <vt:variant>
        <vt:i4>33</vt:i4>
      </vt:variant>
      <vt:variant>
        <vt:i4>0</vt:i4>
      </vt:variant>
      <vt:variant>
        <vt:i4>5</vt:i4>
      </vt:variant>
      <vt:variant>
        <vt:lpwstr>https://nt.gov.au/industry/mining-and-energy/petroleum-activities/petroleum-operations-forms-and-guidelines</vt:lpwstr>
      </vt:variant>
      <vt:variant>
        <vt:lpwstr/>
      </vt:variant>
      <vt:variant>
        <vt:i4>786496</vt:i4>
      </vt:variant>
      <vt:variant>
        <vt:i4>30</vt:i4>
      </vt:variant>
      <vt:variant>
        <vt:i4>0</vt:i4>
      </vt:variant>
      <vt:variant>
        <vt:i4>5</vt:i4>
      </vt:variant>
      <vt:variant>
        <vt:lpwstr>https://denr.nt.gov.au/environment-information/onshore-gas-in-the-northern-territory/code-of-practice-onshore-petroleum-activities-in-the-nt</vt:lpwstr>
      </vt:variant>
      <vt:variant>
        <vt:lpwstr/>
      </vt:variant>
      <vt:variant>
        <vt:i4>8061010</vt:i4>
      </vt:variant>
      <vt:variant>
        <vt:i4>27</vt:i4>
      </vt:variant>
      <vt:variant>
        <vt:i4>0</vt:i4>
      </vt:variant>
      <vt:variant>
        <vt:i4>5</vt:i4>
      </vt:variant>
      <vt:variant>
        <vt:lpwstr>https://nt.gov.au/__data/assets/pdf_file/0004/295906/schedule-of-petroleum-onshore-requirements.pdf</vt:lpwstr>
      </vt:variant>
      <vt:variant>
        <vt:lpwstr/>
      </vt:variant>
      <vt:variant>
        <vt:i4>786496</vt:i4>
      </vt:variant>
      <vt:variant>
        <vt:i4>24</vt:i4>
      </vt:variant>
      <vt:variant>
        <vt:i4>0</vt:i4>
      </vt:variant>
      <vt:variant>
        <vt:i4>5</vt:i4>
      </vt:variant>
      <vt:variant>
        <vt:lpwstr>https://denr.nt.gov.au/environment-information/onshore-gas-in-the-northern-territory/code-of-practice-onshore-petroleum-activities-in-the-nt</vt:lpwstr>
      </vt:variant>
      <vt:variant>
        <vt:lpwstr/>
      </vt:variant>
      <vt:variant>
        <vt:i4>786496</vt:i4>
      </vt:variant>
      <vt:variant>
        <vt:i4>21</vt:i4>
      </vt:variant>
      <vt:variant>
        <vt:i4>0</vt:i4>
      </vt:variant>
      <vt:variant>
        <vt:i4>5</vt:i4>
      </vt:variant>
      <vt:variant>
        <vt:lpwstr>https://denr.nt.gov.au/environment-information/onshore-gas-in-the-northern-territory/code-of-practice-onshore-petroleum-activities-in-the-nt</vt:lpwstr>
      </vt:variant>
      <vt:variant>
        <vt:lpwstr/>
      </vt:variant>
      <vt:variant>
        <vt:i4>6029400</vt:i4>
      </vt:variant>
      <vt:variant>
        <vt:i4>18</vt:i4>
      </vt:variant>
      <vt:variant>
        <vt:i4>0</vt:i4>
      </vt:variant>
      <vt:variant>
        <vt:i4>5</vt:i4>
      </vt:variant>
      <vt:variant>
        <vt:lpwstr>https://hydraulicfracturing.nt.gov.au/action-items/14.14</vt:lpwstr>
      </vt:variant>
      <vt:variant>
        <vt:lpwstr/>
      </vt:variant>
      <vt:variant>
        <vt:i4>786496</vt:i4>
      </vt:variant>
      <vt:variant>
        <vt:i4>15</vt:i4>
      </vt:variant>
      <vt:variant>
        <vt:i4>0</vt:i4>
      </vt:variant>
      <vt:variant>
        <vt:i4>5</vt:i4>
      </vt:variant>
      <vt:variant>
        <vt:lpwstr>https://denr.nt.gov.au/environment-information/onshore-gas-in-the-northern-territory/code-of-practice-onshore-petroleum-activities-in-the-nt</vt:lpwstr>
      </vt:variant>
      <vt:variant>
        <vt:lpwstr/>
      </vt:variant>
      <vt:variant>
        <vt:i4>65607</vt:i4>
      </vt:variant>
      <vt:variant>
        <vt:i4>12</vt:i4>
      </vt:variant>
      <vt:variant>
        <vt:i4>0</vt:i4>
      </vt:variant>
      <vt:variant>
        <vt:i4>5</vt:i4>
      </vt:variant>
      <vt:variant>
        <vt:lpwstr>https://depws.nt.gov.au/onshore-gas/sreba</vt:lpwstr>
      </vt:variant>
      <vt:variant>
        <vt:lpwstr/>
      </vt:variant>
      <vt:variant>
        <vt:i4>8061010</vt:i4>
      </vt:variant>
      <vt:variant>
        <vt:i4>9</vt:i4>
      </vt:variant>
      <vt:variant>
        <vt:i4>0</vt:i4>
      </vt:variant>
      <vt:variant>
        <vt:i4>5</vt:i4>
      </vt:variant>
      <vt:variant>
        <vt:lpwstr>https://nt.gov.au/__data/assets/pdf_file/0004/295906/schedule-of-petroleum-onshore-requirements.pdf</vt:lpwstr>
      </vt:variant>
      <vt:variant>
        <vt:lpwstr/>
      </vt:variant>
      <vt:variant>
        <vt:i4>786496</vt:i4>
      </vt:variant>
      <vt:variant>
        <vt:i4>6</vt:i4>
      </vt:variant>
      <vt:variant>
        <vt:i4>0</vt:i4>
      </vt:variant>
      <vt:variant>
        <vt:i4>5</vt:i4>
      </vt:variant>
      <vt:variant>
        <vt:lpwstr>https://denr.nt.gov.au/environment-information/onshore-gas-in-the-northern-territory/code-of-practice-onshore-petroleum-activities-in-the-nt</vt:lpwstr>
      </vt:variant>
      <vt:variant>
        <vt:lpwstr/>
      </vt:variant>
      <vt:variant>
        <vt:i4>7798898</vt:i4>
      </vt:variant>
      <vt:variant>
        <vt:i4>3</vt:i4>
      </vt:variant>
      <vt:variant>
        <vt:i4>0</vt:i4>
      </vt:variant>
      <vt:variant>
        <vt:i4>5</vt:i4>
      </vt:variant>
      <vt:variant>
        <vt:lpwstr>https://hydraulicfracturing.nt.gov.au/action-items</vt:lpwstr>
      </vt:variant>
      <vt:variant>
        <vt:lpwstr/>
      </vt:variant>
      <vt:variant>
        <vt:i4>6815803</vt:i4>
      </vt:variant>
      <vt:variant>
        <vt:i4>0</vt:i4>
      </vt:variant>
      <vt:variant>
        <vt:i4>0</vt:i4>
      </vt:variant>
      <vt:variant>
        <vt:i4>5</vt:i4>
      </vt:variant>
      <vt:variant>
        <vt:lpwstr>https://frackinginquiry.nt.gov.au/home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2023-04-29T02:33:00Z</dcterms:created>
  <dcterms:modified xsi:type="dcterms:W3CDTF">2023-04-29T02:34:00Z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0x01010020B5163A5A7AF2439730BF119C84F560</vt:lpwstr>
  </property>
</Properties>
</file>